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6DCB" w14:textId="77777777" w:rsidR="005D04FB" w:rsidRPr="005D04FB" w:rsidRDefault="005D04FB" w:rsidP="005D04FB">
      <w:pPr>
        <w:pStyle w:val="Titre1"/>
        <w:rPr>
          <w:lang w:val="en-GB"/>
        </w:rPr>
      </w:pPr>
      <w:r w:rsidRPr="005D04FB">
        <w:rPr>
          <w:lang w:val="en-GB"/>
        </w:rPr>
        <w:t>FICHE 1 — Analyse du TCO (Total Cost of Ownership)</w:t>
      </w:r>
    </w:p>
    <w:p w14:paraId="427EE361" w14:textId="77777777" w:rsidR="005D04FB" w:rsidRPr="005D04FB" w:rsidRDefault="005D04FB" w:rsidP="005D04FB">
      <w:pPr>
        <w:pStyle w:val="Titre2"/>
      </w:pPr>
      <w:r w:rsidRPr="005D04FB">
        <w:t>1) Définition et objectifs</w:t>
      </w:r>
    </w:p>
    <w:p w14:paraId="18E5E9E4" w14:textId="77777777" w:rsidR="005D04FB" w:rsidRPr="005D04FB" w:rsidRDefault="005D04FB" w:rsidP="005D04FB">
      <w:r w:rsidRPr="005D04FB">
        <w:rPr>
          <w:b/>
          <w:bCs/>
        </w:rPr>
        <w:t xml:space="preserve">TCO (Total </w:t>
      </w:r>
      <w:proofErr w:type="spellStart"/>
      <w:r w:rsidRPr="005D04FB">
        <w:rPr>
          <w:b/>
          <w:bCs/>
        </w:rPr>
        <w:t>Cost</w:t>
      </w:r>
      <w:proofErr w:type="spellEnd"/>
      <w:r w:rsidRPr="005D04FB">
        <w:rPr>
          <w:b/>
          <w:bCs/>
        </w:rPr>
        <w:t xml:space="preserve"> of </w:t>
      </w:r>
      <w:proofErr w:type="spellStart"/>
      <w:r w:rsidRPr="005D04FB">
        <w:rPr>
          <w:b/>
          <w:bCs/>
        </w:rPr>
        <w:t>Ownership</w:t>
      </w:r>
      <w:proofErr w:type="spellEnd"/>
      <w:r w:rsidRPr="005D04FB">
        <w:rPr>
          <w:b/>
          <w:bCs/>
        </w:rPr>
        <w:t>)</w:t>
      </w:r>
      <w:r w:rsidRPr="005D04FB">
        <w:t xml:space="preserve"> : évaluation </w:t>
      </w:r>
      <w:r w:rsidRPr="005D04FB">
        <w:rPr>
          <w:b/>
          <w:bCs/>
        </w:rPr>
        <w:t>complète</w:t>
      </w:r>
      <w:r w:rsidRPr="005D04FB">
        <w:t xml:space="preserve"> de tous les coûts d’un actif/</w:t>
      </w:r>
      <w:proofErr w:type="spellStart"/>
      <w:r w:rsidRPr="005D04FB">
        <w:t>servicen</w:t>
      </w:r>
      <w:proofErr w:type="spellEnd"/>
      <w:r w:rsidRPr="005D04FB">
        <w:t xml:space="preserve"> SI tout au long de son cycle de vie : acquisition, opérations, support, communications, dépenses côté utilisateurs (temps, formation) et </w:t>
      </w:r>
      <w:r w:rsidRPr="005D04FB">
        <w:rPr>
          <w:b/>
          <w:bCs/>
        </w:rPr>
        <w:t>coûts d’opportunité</w:t>
      </w:r>
      <w:r w:rsidRPr="005D04FB">
        <w:t xml:space="preserve"> (pannes, indisponibilités). Cette définition de référence est posée par </w:t>
      </w:r>
      <w:r w:rsidRPr="005D04FB">
        <w:rPr>
          <w:b/>
          <w:bCs/>
        </w:rPr>
        <w:t>Gartner</w:t>
      </w:r>
      <w:r w:rsidRPr="005D04FB">
        <w:t>. (</w:t>
      </w:r>
      <w:hyperlink r:id="rId7" w:tooltip="Total Cost of Ownership (TCO) - Gartner Glossary" w:history="1">
        <w:r w:rsidRPr="005D04FB">
          <w:rPr>
            <w:rStyle w:val="Lienhypertexte"/>
          </w:rPr>
          <w:t>Gartner</w:t>
        </w:r>
      </w:hyperlink>
      <w:r w:rsidRPr="005D04FB">
        <w:t>)</w:t>
      </w:r>
    </w:p>
    <w:p w14:paraId="474A87A6" w14:textId="77777777" w:rsidR="005D04FB" w:rsidRPr="005D04FB" w:rsidRDefault="005D04FB" w:rsidP="005D04FB">
      <w:r w:rsidRPr="005D04FB">
        <w:rPr>
          <w:b/>
          <w:bCs/>
        </w:rPr>
        <w:t>Pourquoi le TCO redevient critique (2025)</w:t>
      </w:r>
    </w:p>
    <w:p w14:paraId="1142D183" w14:textId="77777777" w:rsidR="005D04FB" w:rsidRPr="005D04FB" w:rsidRDefault="005D04FB" w:rsidP="005D04FB">
      <w:pPr>
        <w:numPr>
          <w:ilvl w:val="0"/>
          <w:numId w:val="400"/>
        </w:numPr>
      </w:pPr>
      <w:r w:rsidRPr="005D04FB">
        <w:t xml:space="preserve">Passage massif aux modèles </w:t>
      </w:r>
      <w:r w:rsidRPr="005D04FB">
        <w:rPr>
          <w:b/>
          <w:bCs/>
        </w:rPr>
        <w:t>à l’usage</w:t>
      </w:r>
      <w:r w:rsidRPr="005D04FB">
        <w:t xml:space="preserve"> (cloud, SaaS, </w:t>
      </w:r>
      <w:proofErr w:type="spellStart"/>
      <w:r w:rsidRPr="005D04FB">
        <w:t>GenAI</w:t>
      </w:r>
      <w:proofErr w:type="spellEnd"/>
      <w:r w:rsidRPr="005D04FB">
        <w:t>) → variabilité et imprévus si la gouvernance n’est pas en place (</w:t>
      </w:r>
      <w:proofErr w:type="spellStart"/>
      <w:r w:rsidRPr="005D04FB">
        <w:rPr>
          <w:b/>
          <w:bCs/>
        </w:rPr>
        <w:t>FinOps</w:t>
      </w:r>
      <w:proofErr w:type="spellEnd"/>
      <w:r w:rsidRPr="005D04FB">
        <w:rPr>
          <w:b/>
          <w:bCs/>
        </w:rPr>
        <w:t xml:space="preserve"> Framework 2025 – approche “Cloud+”</w:t>
      </w:r>
      <w:r w:rsidRPr="005D04FB">
        <w:t>). (</w:t>
      </w:r>
      <w:hyperlink r:id="rId8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4B6C38C6" w14:textId="77777777" w:rsidR="005D04FB" w:rsidRPr="005D04FB" w:rsidRDefault="005D04FB" w:rsidP="005D04FB">
      <w:pPr>
        <w:numPr>
          <w:ilvl w:val="0"/>
          <w:numId w:val="400"/>
        </w:numPr>
      </w:pPr>
      <w:r w:rsidRPr="005D04FB">
        <w:t xml:space="preserve">Les DSI doivent piloter </w:t>
      </w:r>
      <w:r w:rsidRPr="005D04FB">
        <w:rPr>
          <w:b/>
          <w:bCs/>
        </w:rPr>
        <w:t>à la fois</w:t>
      </w:r>
      <w:r w:rsidRPr="005D04FB">
        <w:t xml:space="preserve"> l’</w:t>
      </w:r>
      <w:r w:rsidRPr="005D04FB">
        <w:rPr>
          <w:b/>
          <w:bCs/>
        </w:rPr>
        <w:t>économie</w:t>
      </w:r>
      <w:r w:rsidRPr="005D04FB">
        <w:t xml:space="preserve"> et l’</w:t>
      </w:r>
      <w:r w:rsidRPr="005D04FB">
        <w:rPr>
          <w:b/>
          <w:bCs/>
        </w:rPr>
        <w:t>écologie</w:t>
      </w:r>
      <w:r w:rsidRPr="005D04FB">
        <w:t xml:space="preserve"> (intégration d’indicateurs </w:t>
      </w:r>
      <w:proofErr w:type="spellStart"/>
      <w:r w:rsidRPr="005D04FB">
        <w:t>CO₂e</w:t>
      </w:r>
      <w:proofErr w:type="spellEnd"/>
      <w:r w:rsidRPr="005D04FB">
        <w:t xml:space="preserve"> dans le modèle de coûts </w:t>
      </w:r>
      <w:r w:rsidRPr="005D04FB">
        <w:rPr>
          <w:b/>
          <w:bCs/>
        </w:rPr>
        <w:t>Cigref 2022</w:t>
      </w:r>
      <w:r w:rsidRPr="005D04FB">
        <w:t>). (</w:t>
      </w:r>
      <w:hyperlink r:id="rId9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302EAEC8" w14:textId="77777777" w:rsidR="005D04FB" w:rsidRPr="005D04FB" w:rsidRDefault="005D04FB" w:rsidP="005D04FB">
      <w:pPr>
        <w:pStyle w:val="Titre2"/>
      </w:pPr>
      <w:r w:rsidRPr="005D04FB">
        <w:t>2) Périmètre d’un TCO “moderne”</w:t>
      </w:r>
    </w:p>
    <w:p w14:paraId="09F3F4CB" w14:textId="77777777" w:rsidR="005D04FB" w:rsidRPr="005D04FB" w:rsidRDefault="005D04FB" w:rsidP="005D04FB">
      <w:r w:rsidRPr="005D04FB">
        <w:t xml:space="preserve">S’inspirer du </w:t>
      </w:r>
      <w:r w:rsidRPr="005D04FB">
        <w:rPr>
          <w:b/>
          <w:bCs/>
        </w:rPr>
        <w:t>Modèle de pilotage économique &amp; écologique de l’IT</w:t>
      </w:r>
      <w:r w:rsidRPr="005D04FB">
        <w:t xml:space="preserve"> du </w:t>
      </w:r>
      <w:r w:rsidRPr="005D04FB">
        <w:rPr>
          <w:b/>
          <w:bCs/>
        </w:rPr>
        <w:t>Cigref</w:t>
      </w:r>
      <w:r w:rsidRPr="005D04FB">
        <w:t xml:space="preserve"> pour cadrer : objets (applications, postes, data centers, réseaux), natures de charges (Capex/Opex), unités d’œuvre, et </w:t>
      </w:r>
      <w:r w:rsidRPr="005D04FB">
        <w:rPr>
          <w:b/>
          <w:bCs/>
        </w:rPr>
        <w:t>KPI d’impact</w:t>
      </w:r>
      <w:r w:rsidRPr="005D04FB">
        <w:t xml:space="preserve"> (énergie/</w:t>
      </w:r>
      <w:proofErr w:type="spellStart"/>
      <w:r w:rsidRPr="005D04FB">
        <w:t>CO₂e</w:t>
      </w:r>
      <w:proofErr w:type="spellEnd"/>
      <w:r w:rsidRPr="005D04FB">
        <w:t>). (</w:t>
      </w:r>
      <w:hyperlink r:id="rId10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6F02C3D2" w14:textId="77777777" w:rsidR="005D04FB" w:rsidRPr="005D04FB" w:rsidRDefault="005D04FB" w:rsidP="005D04FB">
      <w:r w:rsidRPr="005D04FB">
        <w:rPr>
          <w:b/>
          <w:bCs/>
        </w:rPr>
        <w:t>Composantes type :</w:t>
      </w:r>
    </w:p>
    <w:p w14:paraId="581F3258" w14:textId="77777777" w:rsidR="005D04FB" w:rsidRPr="005D04FB" w:rsidRDefault="005D04FB" w:rsidP="005D04FB">
      <w:pPr>
        <w:numPr>
          <w:ilvl w:val="0"/>
          <w:numId w:val="401"/>
        </w:numPr>
      </w:pPr>
      <w:r w:rsidRPr="005D04FB">
        <w:rPr>
          <w:b/>
          <w:bCs/>
        </w:rPr>
        <w:t>Capex</w:t>
      </w:r>
      <w:r w:rsidRPr="005D04FB">
        <w:t xml:space="preserve"> : matériels, licences perpétuelles, projets de migration/transfo.</w:t>
      </w:r>
    </w:p>
    <w:p w14:paraId="3FDB38E7" w14:textId="77777777" w:rsidR="005D04FB" w:rsidRPr="005D04FB" w:rsidRDefault="005D04FB" w:rsidP="005D04FB">
      <w:pPr>
        <w:numPr>
          <w:ilvl w:val="0"/>
          <w:numId w:val="401"/>
        </w:numPr>
      </w:pPr>
      <w:r w:rsidRPr="005D04FB">
        <w:rPr>
          <w:b/>
          <w:bCs/>
        </w:rPr>
        <w:t>Opex</w:t>
      </w:r>
      <w:r w:rsidRPr="005D04FB">
        <w:t xml:space="preserve"> : abonnements IaaS/PaaS/SaaS, support éditeur, infogérance, télécoms, énergie/site.</w:t>
      </w:r>
    </w:p>
    <w:p w14:paraId="5822D513" w14:textId="77777777" w:rsidR="005D04FB" w:rsidRPr="005D04FB" w:rsidRDefault="005D04FB" w:rsidP="005D04FB">
      <w:pPr>
        <w:numPr>
          <w:ilvl w:val="0"/>
          <w:numId w:val="401"/>
        </w:numPr>
      </w:pPr>
      <w:r w:rsidRPr="005D04FB">
        <w:rPr>
          <w:b/>
          <w:bCs/>
        </w:rPr>
        <w:t>Qualité/risque</w:t>
      </w:r>
      <w:r w:rsidRPr="005D04FB">
        <w:t xml:space="preserve"> : incidents, indisponibilités (perte de productivité), sécurité &amp; conformité.</w:t>
      </w:r>
    </w:p>
    <w:p w14:paraId="4B552DF7" w14:textId="77777777" w:rsidR="005D04FB" w:rsidRPr="005D04FB" w:rsidRDefault="005D04FB" w:rsidP="005D04FB">
      <w:pPr>
        <w:numPr>
          <w:ilvl w:val="0"/>
          <w:numId w:val="401"/>
        </w:numPr>
      </w:pPr>
      <w:r w:rsidRPr="005D04FB">
        <w:rPr>
          <w:b/>
          <w:bCs/>
        </w:rPr>
        <w:t>Organisation</w:t>
      </w:r>
      <w:r w:rsidRPr="005D04FB">
        <w:t xml:space="preserve"> : formation, conduite du changement, gouvernance (ITAM/</w:t>
      </w:r>
      <w:proofErr w:type="spellStart"/>
      <w:r w:rsidRPr="005D04FB">
        <w:t>FinOps</w:t>
      </w:r>
      <w:proofErr w:type="spellEnd"/>
      <w:r w:rsidRPr="005D04FB">
        <w:t>).</w:t>
      </w:r>
    </w:p>
    <w:p w14:paraId="1DD1446F" w14:textId="77777777" w:rsidR="005D04FB" w:rsidRPr="005D04FB" w:rsidRDefault="005D04FB" w:rsidP="005D04FB">
      <w:pPr>
        <w:numPr>
          <w:ilvl w:val="0"/>
          <w:numId w:val="401"/>
        </w:numPr>
      </w:pPr>
      <w:r w:rsidRPr="005D04FB">
        <w:rPr>
          <w:b/>
          <w:bCs/>
        </w:rPr>
        <w:t>Écologie</w:t>
      </w:r>
      <w:r w:rsidRPr="005D04FB">
        <w:t xml:space="preserve"> : énergie/</w:t>
      </w:r>
      <w:proofErr w:type="spellStart"/>
      <w:r w:rsidRPr="005D04FB">
        <w:t>CO₂e</w:t>
      </w:r>
      <w:proofErr w:type="spellEnd"/>
      <w:r w:rsidRPr="005D04FB">
        <w:t>, localisation, densité, sobriété (Cigref 2022). (</w:t>
      </w:r>
      <w:hyperlink r:id="rId11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7632B547" w14:textId="77777777" w:rsidR="005D04FB" w:rsidRPr="005D04FB" w:rsidRDefault="005D04FB" w:rsidP="005D04FB">
      <w:pPr>
        <w:pStyle w:val="Titre2"/>
      </w:pPr>
      <w:r w:rsidRPr="005D04FB">
        <w:t>3) Méthode pas-à-pas (opérationnelle)</w:t>
      </w:r>
    </w:p>
    <w:p w14:paraId="126151F8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Étape A — Inventaire &amp; segmentation</w:t>
      </w:r>
    </w:p>
    <w:p w14:paraId="3A924B9F" w14:textId="77777777" w:rsidR="005D04FB" w:rsidRPr="005D04FB" w:rsidRDefault="005D04FB" w:rsidP="005D04FB">
      <w:pPr>
        <w:numPr>
          <w:ilvl w:val="0"/>
          <w:numId w:val="402"/>
        </w:numPr>
      </w:pPr>
      <w:r w:rsidRPr="005D04FB">
        <w:rPr>
          <w:b/>
          <w:bCs/>
        </w:rPr>
        <w:t>Lister</w:t>
      </w:r>
      <w:r w:rsidRPr="005D04FB">
        <w:t xml:space="preserve"> les actifs &amp; services (par produit SI) et </w:t>
      </w:r>
      <w:r w:rsidRPr="005D04FB">
        <w:rPr>
          <w:b/>
          <w:bCs/>
        </w:rPr>
        <w:t>lier les coûts</w:t>
      </w:r>
      <w:r w:rsidRPr="005D04FB">
        <w:t xml:space="preserve"> (contrats, factures cloud, paie interne, énergie).</w:t>
      </w:r>
    </w:p>
    <w:p w14:paraId="196BD2E7" w14:textId="77777777" w:rsidR="005D04FB" w:rsidRPr="005D04FB" w:rsidRDefault="005D04FB" w:rsidP="005D04FB">
      <w:pPr>
        <w:numPr>
          <w:ilvl w:val="0"/>
          <w:numId w:val="402"/>
        </w:numPr>
      </w:pPr>
      <w:r w:rsidRPr="005D04FB">
        <w:rPr>
          <w:b/>
          <w:bCs/>
        </w:rPr>
        <w:t>Segmenter</w:t>
      </w:r>
      <w:r w:rsidRPr="005D04FB">
        <w:t xml:space="preserve"> en “</w:t>
      </w:r>
      <w:r w:rsidRPr="005D04FB">
        <w:rPr>
          <w:b/>
          <w:bCs/>
        </w:rPr>
        <w:t>Scopes</w:t>
      </w:r>
      <w:r w:rsidRPr="005D04FB">
        <w:t xml:space="preserve">” à la </w:t>
      </w:r>
      <w:proofErr w:type="spellStart"/>
      <w:r w:rsidRPr="005D04FB">
        <w:rPr>
          <w:b/>
          <w:bCs/>
        </w:rPr>
        <w:t>FinOps</w:t>
      </w:r>
      <w:proofErr w:type="spellEnd"/>
      <w:r w:rsidRPr="005D04FB">
        <w:rPr>
          <w:b/>
          <w:bCs/>
        </w:rPr>
        <w:t xml:space="preserve"> 2025</w:t>
      </w:r>
      <w:r w:rsidRPr="005D04FB">
        <w:t xml:space="preserve"> : Public Cloud, Data Center, SaaS, </w:t>
      </w:r>
      <w:proofErr w:type="spellStart"/>
      <w:r w:rsidRPr="005D04FB">
        <w:rPr>
          <w:b/>
          <w:bCs/>
        </w:rPr>
        <w:t>GenAI</w:t>
      </w:r>
      <w:proofErr w:type="spellEnd"/>
      <w:r w:rsidRPr="005D04FB">
        <w:t>, Réseau, End-User. Cela facilite l’allocation et la comparaison. (</w:t>
      </w:r>
      <w:hyperlink r:id="rId12" w:tooltip="FinOps Scopes: Cloud+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5886ADFA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Étape B — Allocation des coûts</w:t>
      </w:r>
    </w:p>
    <w:p w14:paraId="41CD234A" w14:textId="77777777" w:rsidR="005D04FB" w:rsidRPr="005D04FB" w:rsidRDefault="005D04FB" w:rsidP="005D04FB">
      <w:pPr>
        <w:numPr>
          <w:ilvl w:val="0"/>
          <w:numId w:val="403"/>
        </w:numPr>
      </w:pPr>
      <w:r w:rsidRPr="005D04FB">
        <w:t xml:space="preserve">Appliquer la </w:t>
      </w:r>
      <w:r w:rsidRPr="005D04FB">
        <w:rPr>
          <w:b/>
          <w:bCs/>
        </w:rPr>
        <w:t>capacité “Allocation”</w:t>
      </w:r>
      <w:r w:rsidRPr="005D04FB">
        <w:t xml:space="preserve"> (</w:t>
      </w:r>
      <w:proofErr w:type="spellStart"/>
      <w:r w:rsidRPr="005D04FB">
        <w:t>FinOps</w:t>
      </w:r>
      <w:proofErr w:type="spellEnd"/>
      <w:r w:rsidRPr="005D04FB">
        <w:t xml:space="preserve">) : </w:t>
      </w:r>
      <w:r w:rsidRPr="005D04FB">
        <w:rPr>
          <w:b/>
          <w:bCs/>
        </w:rPr>
        <w:t>comptes/projets/étiquettes (tags)</w:t>
      </w:r>
      <w:r w:rsidRPr="005D04FB">
        <w:t xml:space="preserve">, labels et métadonnées dérivées ; viser ≥ 90 % de dépenses </w:t>
      </w:r>
      <w:r w:rsidRPr="005D04FB">
        <w:rPr>
          <w:b/>
          <w:bCs/>
        </w:rPr>
        <w:t>attribuées</w:t>
      </w:r>
      <w:r w:rsidRPr="005D04FB">
        <w:t xml:space="preserve"> à un centre de responsabilité. (</w:t>
      </w:r>
      <w:hyperlink r:id="rId13" w:tooltip="Allocation FinOps Framework Capability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75CFB50E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Étape C — Normalisation &amp; unités d’œuvre</w:t>
      </w:r>
    </w:p>
    <w:p w14:paraId="3C61DEDC" w14:textId="77777777" w:rsidR="005D04FB" w:rsidRPr="005D04FB" w:rsidRDefault="005D04FB" w:rsidP="005D04FB">
      <w:pPr>
        <w:numPr>
          <w:ilvl w:val="0"/>
          <w:numId w:val="404"/>
        </w:numPr>
      </w:pPr>
      <w:r w:rsidRPr="005D04FB">
        <w:t xml:space="preserve">Convertir les coûts en </w:t>
      </w:r>
      <w:r w:rsidRPr="005D04FB">
        <w:rPr>
          <w:b/>
          <w:bCs/>
        </w:rPr>
        <w:t>€/unité fonctionnelle</w:t>
      </w:r>
      <w:r w:rsidRPr="005D04FB">
        <w:t xml:space="preserve"> : €/transaction, €/utilisateur actif, €/Go-mois, €/</w:t>
      </w:r>
      <w:proofErr w:type="spellStart"/>
      <w:r w:rsidRPr="005D04FB">
        <w:t>build</w:t>
      </w:r>
      <w:proofErr w:type="spellEnd"/>
      <w:r w:rsidRPr="005D04FB">
        <w:t>, €/heure GPU… (référence Cigref pour le pilotage “€ + impact”). (</w:t>
      </w:r>
      <w:hyperlink r:id="rId14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11AF72AB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Étape D — Intégration “coût du risque”</w:t>
      </w:r>
    </w:p>
    <w:p w14:paraId="12CECE4F" w14:textId="77777777" w:rsidR="005D04FB" w:rsidRPr="005D04FB" w:rsidRDefault="005D04FB" w:rsidP="005D04FB">
      <w:pPr>
        <w:numPr>
          <w:ilvl w:val="0"/>
          <w:numId w:val="405"/>
        </w:numPr>
      </w:pPr>
      <w:r w:rsidRPr="005D04FB">
        <w:t xml:space="preserve">Estimer </w:t>
      </w:r>
      <w:r w:rsidRPr="005D04FB">
        <w:rPr>
          <w:b/>
          <w:bCs/>
        </w:rPr>
        <w:t>pannes &amp; sécurité</w:t>
      </w:r>
      <w:r w:rsidRPr="005D04FB">
        <w:t xml:space="preserve"> (probabilité × impact). Les guides </w:t>
      </w:r>
      <w:r w:rsidRPr="005D04FB">
        <w:rPr>
          <w:b/>
          <w:bCs/>
        </w:rPr>
        <w:t>ANSSI</w:t>
      </w:r>
      <w:r w:rsidRPr="005D04FB">
        <w:t xml:space="preserve"> aident à cadrer les mesures de prévention et la vraisemblance des incidents (socle d’hygiène en </w:t>
      </w:r>
      <w:r w:rsidRPr="005D04FB">
        <w:rPr>
          <w:b/>
          <w:bCs/>
        </w:rPr>
        <w:t>42 mesures</w:t>
      </w:r>
      <w:r w:rsidRPr="005D04FB">
        <w:t>). (</w:t>
      </w:r>
      <w:hyperlink r:id="rId15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p w14:paraId="22CD6B6B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lastRenderedPageBreak/>
        <w:t>Étape E — Contrats &amp; réversibilité</w:t>
      </w:r>
    </w:p>
    <w:p w14:paraId="3D9E9C9F" w14:textId="77777777" w:rsidR="005D04FB" w:rsidRPr="005D04FB" w:rsidRDefault="005D04FB" w:rsidP="005D04FB">
      <w:pPr>
        <w:numPr>
          <w:ilvl w:val="0"/>
          <w:numId w:val="406"/>
        </w:numPr>
      </w:pPr>
      <w:r w:rsidRPr="005D04FB">
        <w:t xml:space="preserve">Intégrer dans les RFP les exigences du </w:t>
      </w:r>
      <w:r w:rsidRPr="005D04FB">
        <w:rPr>
          <w:b/>
          <w:bCs/>
        </w:rPr>
        <w:t>“Cloud de confiance”</w:t>
      </w:r>
      <w:r w:rsidRPr="005D04FB">
        <w:t xml:space="preserve"> (sécurité, souveraineté, dépendance, </w:t>
      </w:r>
      <w:r w:rsidRPr="005D04FB">
        <w:rPr>
          <w:b/>
          <w:bCs/>
        </w:rPr>
        <w:t>réversibilité/</w:t>
      </w:r>
      <w:proofErr w:type="spellStart"/>
      <w:r w:rsidRPr="005D04FB">
        <w:rPr>
          <w:b/>
          <w:bCs/>
        </w:rPr>
        <w:t>egress</w:t>
      </w:r>
      <w:proofErr w:type="spellEnd"/>
      <w:r w:rsidRPr="005D04FB">
        <w:t xml:space="preserve">) avec les </w:t>
      </w:r>
      <w:r w:rsidRPr="005D04FB">
        <w:rPr>
          <w:b/>
          <w:bCs/>
        </w:rPr>
        <w:t>CCTP Cigref 2024</w:t>
      </w:r>
      <w:r w:rsidRPr="005D04FB">
        <w:t>. (</w:t>
      </w:r>
      <w:hyperlink r:id="rId16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472142E5" w14:textId="77777777" w:rsidR="005D04FB" w:rsidRPr="005D04FB" w:rsidRDefault="005D04FB" w:rsidP="005D04FB">
      <w:pPr>
        <w:pStyle w:val="Titre2"/>
      </w:pPr>
      <w:r w:rsidRPr="005D04FB">
        <w:t>4) Formule &amp; structure de calcul (synthèse)</w:t>
      </w:r>
    </w:p>
    <w:p w14:paraId="62101FC9" w14:textId="77777777" w:rsidR="005D04FB" w:rsidRPr="005D04FB" w:rsidRDefault="005D04FB" w:rsidP="005D04FB">
      <w:r w:rsidRPr="005D04FB">
        <w:rPr>
          <w:b/>
          <w:bCs/>
        </w:rPr>
        <w:t>TCO total (sur N ans)</w:t>
      </w:r>
      <w:r w:rsidRPr="005D04FB">
        <w:t xml:space="preserve"> = </w:t>
      </w:r>
      <w:r w:rsidRPr="005D04FB">
        <w:rPr>
          <w:b/>
          <w:bCs/>
        </w:rPr>
        <w:t>Capex amortis</w:t>
      </w:r>
    </w:p>
    <w:p w14:paraId="1FA03EA2" w14:textId="77777777" w:rsidR="005D04FB" w:rsidRPr="005D04FB" w:rsidRDefault="005D04FB" w:rsidP="005D04FB">
      <w:pPr>
        <w:numPr>
          <w:ilvl w:val="0"/>
          <w:numId w:val="407"/>
        </w:numPr>
      </w:pPr>
      <w:r w:rsidRPr="005D04FB">
        <w:rPr>
          <w:b/>
          <w:bCs/>
        </w:rPr>
        <w:t>Opex récurrents</w:t>
      </w:r>
      <w:r w:rsidRPr="005D04FB">
        <w:t xml:space="preserve"> (cloud, SaaS, support, énergie, télécoms, site)</w:t>
      </w:r>
    </w:p>
    <w:p w14:paraId="618F93CF" w14:textId="77777777" w:rsidR="005D04FB" w:rsidRPr="005D04FB" w:rsidRDefault="005D04FB" w:rsidP="005D04FB">
      <w:pPr>
        <w:numPr>
          <w:ilvl w:val="0"/>
          <w:numId w:val="407"/>
        </w:numPr>
      </w:pPr>
      <w:r w:rsidRPr="005D04FB">
        <w:rPr>
          <w:b/>
          <w:bCs/>
        </w:rPr>
        <w:t>Coûts de qualité/risque</w:t>
      </w:r>
      <w:r w:rsidRPr="005D04FB">
        <w:t xml:space="preserve"> (indispo, sécurité, conformité)</w:t>
      </w:r>
    </w:p>
    <w:p w14:paraId="5C264690" w14:textId="77777777" w:rsidR="005D04FB" w:rsidRPr="005D04FB" w:rsidRDefault="005D04FB" w:rsidP="005D04FB">
      <w:pPr>
        <w:numPr>
          <w:ilvl w:val="0"/>
          <w:numId w:val="407"/>
        </w:numPr>
      </w:pPr>
      <w:r w:rsidRPr="005D04FB">
        <w:rPr>
          <w:b/>
          <w:bCs/>
        </w:rPr>
        <w:t>Organisation &amp; change</w:t>
      </w:r>
      <w:r w:rsidRPr="005D04FB">
        <w:t xml:space="preserve"> (formation, gouvernance)</w:t>
      </w:r>
    </w:p>
    <w:p w14:paraId="436DDE66" w14:textId="77777777" w:rsidR="005D04FB" w:rsidRPr="005D04FB" w:rsidRDefault="005D04FB" w:rsidP="005D04FB">
      <w:pPr>
        <w:numPr>
          <w:ilvl w:val="0"/>
          <w:numId w:val="407"/>
        </w:numPr>
      </w:pPr>
      <w:r w:rsidRPr="005D04FB">
        <w:rPr>
          <w:b/>
          <w:bCs/>
        </w:rPr>
        <w:t>Externalités</w:t>
      </w:r>
      <w:r w:rsidRPr="005D04FB">
        <w:t xml:space="preserve"> (</w:t>
      </w:r>
      <w:proofErr w:type="spellStart"/>
      <w:r w:rsidRPr="005D04FB">
        <w:t>CO₂e</w:t>
      </w:r>
      <w:proofErr w:type="spellEnd"/>
      <w:r w:rsidRPr="005D04FB">
        <w:t xml:space="preserve"> valorisé si l’on tient une comptabilité carbone interne).</w:t>
      </w:r>
    </w:p>
    <w:p w14:paraId="68F9D1F5" w14:textId="77777777" w:rsidR="005D04FB" w:rsidRPr="005D04FB" w:rsidRDefault="005D04FB" w:rsidP="005D04FB">
      <w:r w:rsidRPr="005D04FB">
        <w:t xml:space="preserve">Le modèle </w:t>
      </w:r>
      <w:r w:rsidRPr="005D04FB">
        <w:rPr>
          <w:b/>
          <w:bCs/>
        </w:rPr>
        <w:t>Cigref</w:t>
      </w:r>
      <w:r w:rsidRPr="005D04FB">
        <w:t xml:space="preserve"> fournit les strates “dépenses” et “impact”, le </w:t>
      </w:r>
      <w:r w:rsidRPr="005D04FB">
        <w:rPr>
          <w:b/>
          <w:bCs/>
        </w:rPr>
        <w:t>glossaire Gartner</w:t>
      </w:r>
      <w:r w:rsidRPr="005D04FB">
        <w:t xml:space="preserve"> borne les périmètres classiques du TCO. (</w:t>
      </w:r>
      <w:hyperlink r:id="rId17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26676672" w14:textId="77777777" w:rsidR="005D04FB" w:rsidRPr="005D04FB" w:rsidRDefault="005D04FB" w:rsidP="005D04FB">
      <w:pPr>
        <w:pStyle w:val="Titre2"/>
      </w:pPr>
      <w:r w:rsidRPr="005D04FB">
        <w:t>5) Exemples concrets (chiffrés et reproductibles)</w:t>
      </w:r>
    </w:p>
    <w:p w14:paraId="67D1F89B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Exemple 1 — Relocaliser une appli analytique vers du PaaS managé</w:t>
      </w:r>
    </w:p>
    <w:p w14:paraId="7D3B404D" w14:textId="77777777" w:rsidR="005D04FB" w:rsidRPr="005D04FB" w:rsidRDefault="005D04FB" w:rsidP="005D04FB">
      <w:r w:rsidRPr="005D04FB">
        <w:rPr>
          <w:b/>
          <w:bCs/>
        </w:rPr>
        <w:t>Contexte</w:t>
      </w:r>
      <w:r w:rsidRPr="005D04FB">
        <w:t xml:space="preserve"> : 5 To de données, 40 </w:t>
      </w:r>
      <w:proofErr w:type="spellStart"/>
      <w:r w:rsidRPr="005D04FB">
        <w:t>vCPU</w:t>
      </w:r>
      <w:proofErr w:type="spellEnd"/>
      <w:r w:rsidRPr="005D04FB">
        <w:t xml:space="preserve"> moyens, pics la nuit, 20 utilisateurs métier.</w:t>
      </w:r>
    </w:p>
    <w:p w14:paraId="651EBCB0" w14:textId="77777777" w:rsidR="005D04FB" w:rsidRP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On-</w:t>
      </w:r>
      <w:proofErr w:type="spellStart"/>
      <w:r w:rsidRPr="005D04FB">
        <w:rPr>
          <w:b/>
          <w:bCs/>
        </w:rPr>
        <w:t>prem</w:t>
      </w:r>
      <w:proofErr w:type="spellEnd"/>
      <w:r w:rsidRPr="005D04FB">
        <w:t xml:space="preserve"> (3 ans) : serveurs + stockage (Capex amortis), électricité/site, DBA 0,3 ETP, licences SQL, PRA, support.</w:t>
      </w:r>
    </w:p>
    <w:p w14:paraId="038CD75F" w14:textId="77777777" w:rsid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Cloud PaaS</w:t>
      </w:r>
      <w:r w:rsidRPr="005D04FB">
        <w:t xml:space="preserve"> (3 ans) : </w:t>
      </w:r>
      <w:proofErr w:type="spellStart"/>
      <w:r w:rsidRPr="005D04FB">
        <w:t>compute</w:t>
      </w:r>
      <w:proofErr w:type="spellEnd"/>
      <w:r w:rsidRPr="005D04FB">
        <w:t xml:space="preserve"> à l’usage, stockage “chaud” 5 To + “archive” 10 To, </w:t>
      </w:r>
      <w:r w:rsidRPr="005D04FB">
        <w:rPr>
          <w:b/>
          <w:bCs/>
        </w:rPr>
        <w:t>réservations 1–3 ans</w:t>
      </w:r>
      <w:r w:rsidRPr="005D04FB">
        <w:t xml:space="preserve"> (économie attendue), frais </w:t>
      </w:r>
      <w:proofErr w:type="spellStart"/>
      <w:r w:rsidRPr="005D04FB">
        <w:rPr>
          <w:b/>
          <w:bCs/>
        </w:rPr>
        <w:t>egress</w:t>
      </w:r>
      <w:proofErr w:type="spellEnd"/>
      <w:r w:rsidRPr="005D04FB">
        <w:t xml:space="preserve"> ponctuels, support managé, </w:t>
      </w:r>
      <w:r w:rsidRPr="005D04FB">
        <w:rPr>
          <w:b/>
          <w:bCs/>
        </w:rPr>
        <w:t xml:space="preserve">tags + </w:t>
      </w:r>
      <w:proofErr w:type="spellStart"/>
      <w:r w:rsidRPr="005D04FB">
        <w:rPr>
          <w:b/>
          <w:bCs/>
        </w:rPr>
        <w:t>showback</w:t>
      </w:r>
      <w:proofErr w:type="spellEnd"/>
      <w:r w:rsidRPr="005D04FB">
        <w:t>.</w:t>
      </w:r>
    </w:p>
    <w:p w14:paraId="1F836C12" w14:textId="77777777" w:rsid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Calcul TCO</w:t>
      </w:r>
      <w:r w:rsidRPr="005D04FB">
        <w:t xml:space="preserve"> : sommer les lignes ci-dessus, puis exprimer en </w:t>
      </w:r>
      <w:r w:rsidRPr="005D04FB">
        <w:rPr>
          <w:b/>
          <w:bCs/>
        </w:rPr>
        <w:t>€/requête et €/utilisateur actif</w:t>
      </w:r>
      <w:r w:rsidRPr="005D04FB">
        <w:t>.</w:t>
      </w:r>
    </w:p>
    <w:p w14:paraId="6739895F" w14:textId="4D2F0298" w:rsidR="005D04FB" w:rsidRP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Points d’attention</w:t>
      </w:r>
      <w:r w:rsidRPr="005D04FB">
        <w:t xml:space="preserve"> :</w:t>
      </w:r>
    </w:p>
    <w:p w14:paraId="2557EEC2" w14:textId="77777777" w:rsidR="005D04FB" w:rsidRP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Allocation</w:t>
      </w:r>
      <w:r w:rsidRPr="005D04FB">
        <w:t xml:space="preserve"> fine par tags (équipes/produit/environnement). (</w:t>
      </w:r>
      <w:hyperlink r:id="rId18" w:tooltip="Allocation FinOps Framework Capability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396F5BDF" w14:textId="77777777" w:rsidR="005D04FB" w:rsidRP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Engagements</w:t>
      </w:r>
      <w:r w:rsidRPr="005D04FB">
        <w:t xml:space="preserve"> (Savings Plans/RI) et arrêt automatique hors charge. (</w:t>
      </w:r>
      <w:hyperlink r:id="rId19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00245A39" w14:textId="77777777" w:rsidR="005D04FB" w:rsidRPr="005D04FB" w:rsidRDefault="005D04FB" w:rsidP="005D04FB">
      <w:pPr>
        <w:numPr>
          <w:ilvl w:val="0"/>
          <w:numId w:val="408"/>
        </w:numPr>
      </w:pPr>
      <w:r w:rsidRPr="005D04FB">
        <w:rPr>
          <w:b/>
          <w:bCs/>
        </w:rPr>
        <w:t>Clauses RFP</w:t>
      </w:r>
      <w:r w:rsidRPr="005D04FB">
        <w:t xml:space="preserve"> : portabilité, plafonds </w:t>
      </w:r>
      <w:proofErr w:type="spellStart"/>
      <w:r w:rsidRPr="005D04FB">
        <w:t>egress</w:t>
      </w:r>
      <w:proofErr w:type="spellEnd"/>
      <w:r w:rsidRPr="005D04FB">
        <w:t>, sortie sans pénalité (Cigref 2024). (</w:t>
      </w:r>
      <w:hyperlink r:id="rId20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0DA5F8E1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Exemple 2 — SaaS CRM vs. on-</w:t>
      </w:r>
      <w:proofErr w:type="spellStart"/>
      <w:r w:rsidRPr="005D04FB">
        <w:rPr>
          <w:b/>
          <w:bCs/>
        </w:rPr>
        <w:t>prem</w:t>
      </w:r>
      <w:proofErr w:type="spellEnd"/>
      <w:r w:rsidRPr="005D04FB">
        <w:rPr>
          <w:b/>
          <w:bCs/>
        </w:rPr>
        <w:t xml:space="preserve"> CRM</w:t>
      </w:r>
    </w:p>
    <w:p w14:paraId="33497DBF" w14:textId="77777777" w:rsidR="005D04FB" w:rsidRPr="005D04FB" w:rsidRDefault="005D04FB" w:rsidP="005D04FB">
      <w:pPr>
        <w:numPr>
          <w:ilvl w:val="0"/>
          <w:numId w:val="409"/>
        </w:numPr>
      </w:pPr>
      <w:r w:rsidRPr="005D04FB">
        <w:rPr>
          <w:b/>
          <w:bCs/>
        </w:rPr>
        <w:t>SaaS</w:t>
      </w:r>
      <w:r w:rsidRPr="005D04FB">
        <w:t xml:space="preserve"> : licence par utilisateur/mois, stockage inclus, options </w:t>
      </w:r>
      <w:proofErr w:type="spellStart"/>
      <w:r w:rsidRPr="005D04FB">
        <w:t>d’analytics</w:t>
      </w:r>
      <w:proofErr w:type="spellEnd"/>
      <w:r w:rsidRPr="005D04FB">
        <w:t xml:space="preserve">, obligations </w:t>
      </w:r>
      <w:r w:rsidRPr="005D04FB">
        <w:rPr>
          <w:b/>
          <w:bCs/>
        </w:rPr>
        <w:t>réversibilité/exports</w:t>
      </w:r>
      <w:r w:rsidRPr="005D04FB">
        <w:t xml:space="preserve"> à vérifier (CCTP).</w:t>
      </w:r>
    </w:p>
    <w:p w14:paraId="11D203D6" w14:textId="77777777" w:rsidR="005D04FB" w:rsidRDefault="005D04FB" w:rsidP="005D04FB">
      <w:pPr>
        <w:numPr>
          <w:ilvl w:val="0"/>
          <w:numId w:val="409"/>
        </w:numPr>
      </w:pPr>
      <w:r w:rsidRPr="005D04FB">
        <w:rPr>
          <w:b/>
          <w:bCs/>
        </w:rPr>
        <w:t>On-</w:t>
      </w:r>
      <w:proofErr w:type="spellStart"/>
      <w:r w:rsidRPr="005D04FB">
        <w:rPr>
          <w:b/>
          <w:bCs/>
        </w:rPr>
        <w:t>prem</w:t>
      </w:r>
      <w:proofErr w:type="spellEnd"/>
      <w:r w:rsidRPr="005D04FB">
        <w:t xml:space="preserve"> : Capex serveurs + licences perpétuelles, MCO appli/DB, sauvegardes, </w:t>
      </w:r>
      <w:proofErr w:type="spellStart"/>
      <w:r w:rsidRPr="005D04FB">
        <w:t>patching</w:t>
      </w:r>
      <w:proofErr w:type="spellEnd"/>
      <w:r w:rsidRPr="005D04FB">
        <w:t>, PRA.</w:t>
      </w:r>
    </w:p>
    <w:p w14:paraId="2569DE76" w14:textId="0FD5A2C4" w:rsidR="005D04FB" w:rsidRPr="005D04FB" w:rsidRDefault="005D04FB" w:rsidP="005D04FB">
      <w:pPr>
        <w:numPr>
          <w:ilvl w:val="0"/>
          <w:numId w:val="409"/>
        </w:numPr>
      </w:pPr>
      <w:r w:rsidRPr="005D04FB">
        <w:rPr>
          <w:b/>
          <w:bCs/>
        </w:rPr>
        <w:t>TCO</w:t>
      </w:r>
      <w:r w:rsidRPr="005D04FB">
        <w:t xml:space="preserve"> : comparer </w:t>
      </w:r>
      <w:r w:rsidRPr="005D04FB">
        <w:rPr>
          <w:b/>
          <w:bCs/>
        </w:rPr>
        <w:t>€/utilisateur actif</w:t>
      </w:r>
      <w:r w:rsidRPr="005D04FB">
        <w:t xml:space="preserve"> et </w:t>
      </w:r>
      <w:r w:rsidRPr="005D04FB">
        <w:rPr>
          <w:b/>
          <w:bCs/>
        </w:rPr>
        <w:t>€ par opportunité traitée</w:t>
      </w:r>
      <w:r w:rsidRPr="005D04FB">
        <w:t xml:space="preserve">, intégrer </w:t>
      </w:r>
      <w:r w:rsidRPr="005D04FB">
        <w:rPr>
          <w:b/>
          <w:bCs/>
        </w:rPr>
        <w:t>coûts d’arrêt</w:t>
      </w:r>
      <w:r w:rsidRPr="005D04FB">
        <w:t xml:space="preserve"> potentiels (sortie SaaS versus amortissement résiduel on-</w:t>
      </w:r>
      <w:proofErr w:type="spellStart"/>
      <w:r w:rsidRPr="005D04FB">
        <w:t>prem</w:t>
      </w:r>
      <w:proofErr w:type="spellEnd"/>
      <w:r w:rsidRPr="005D04FB">
        <w:t xml:space="preserve">). Référence de principes : </w:t>
      </w:r>
      <w:r w:rsidRPr="005D04FB">
        <w:rPr>
          <w:b/>
          <w:bCs/>
        </w:rPr>
        <w:t>Gartner TCO</w:t>
      </w:r>
      <w:r w:rsidRPr="005D04FB">
        <w:t xml:space="preserve"> + </w:t>
      </w:r>
      <w:r w:rsidRPr="005D04FB">
        <w:rPr>
          <w:b/>
          <w:bCs/>
        </w:rPr>
        <w:t>Cigref</w:t>
      </w:r>
      <w:r w:rsidRPr="005D04FB">
        <w:t>. (</w:t>
      </w:r>
      <w:hyperlink r:id="rId21" w:tooltip="Total Cost of Ownership (TCO) - Gartner Glossary" w:history="1">
        <w:r w:rsidRPr="005D04FB">
          <w:rPr>
            <w:rStyle w:val="Lienhypertexte"/>
          </w:rPr>
          <w:t>Gartner</w:t>
        </w:r>
      </w:hyperlink>
      <w:r w:rsidRPr="005D04FB">
        <w:t>)</w:t>
      </w:r>
    </w:p>
    <w:p w14:paraId="69882B42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Exemple 3 — Coût d’un incident cyber (SOC vs. sans SOC)</w:t>
      </w:r>
    </w:p>
    <w:p w14:paraId="27F06D60" w14:textId="77777777" w:rsidR="005D04FB" w:rsidRPr="005D04FB" w:rsidRDefault="005D04FB" w:rsidP="005D04FB">
      <w:pPr>
        <w:numPr>
          <w:ilvl w:val="0"/>
          <w:numId w:val="410"/>
        </w:numPr>
      </w:pPr>
      <w:r w:rsidRPr="005D04FB">
        <w:rPr>
          <w:b/>
          <w:bCs/>
        </w:rPr>
        <w:t>Sans SOC/MDR</w:t>
      </w:r>
      <w:r w:rsidRPr="005D04FB">
        <w:t xml:space="preserve"> : proba d’incident majeure plus élevée → coûts </w:t>
      </w:r>
      <w:proofErr w:type="spellStart"/>
      <w:r w:rsidRPr="005D04FB">
        <w:t>forensic</w:t>
      </w:r>
      <w:proofErr w:type="spellEnd"/>
      <w:r w:rsidRPr="005D04FB">
        <w:t>, restauration, arrêt de production, communication de crise, sanctions, hausse primes d’assurance.</w:t>
      </w:r>
    </w:p>
    <w:p w14:paraId="4DA0D304" w14:textId="77777777" w:rsidR="005D04FB" w:rsidRPr="005D04FB" w:rsidRDefault="005D04FB" w:rsidP="005D04FB">
      <w:pPr>
        <w:numPr>
          <w:ilvl w:val="0"/>
          <w:numId w:val="410"/>
        </w:numPr>
      </w:pPr>
      <w:r w:rsidRPr="005D04FB">
        <w:rPr>
          <w:b/>
          <w:bCs/>
        </w:rPr>
        <w:t>Avec SOC/MDR &amp; hygiène ANSSI</w:t>
      </w:r>
      <w:r w:rsidRPr="005D04FB">
        <w:t xml:space="preserve"> : coûts récurrents mais réduction </w:t>
      </w:r>
      <w:r w:rsidRPr="005D04FB">
        <w:rPr>
          <w:b/>
          <w:bCs/>
        </w:rPr>
        <w:t>mesurable</w:t>
      </w:r>
      <w:r w:rsidRPr="005D04FB">
        <w:t xml:space="preserve"> du </w:t>
      </w:r>
      <w:r w:rsidRPr="005D04FB">
        <w:rPr>
          <w:b/>
          <w:bCs/>
        </w:rPr>
        <w:t>risque</w:t>
      </w:r>
      <w:r w:rsidRPr="005D04FB">
        <w:t xml:space="preserve"> ; on valorise l’</w:t>
      </w:r>
      <w:r w:rsidRPr="005D04FB">
        <w:rPr>
          <w:b/>
          <w:bCs/>
        </w:rPr>
        <w:t>évitement de coûts</w:t>
      </w:r>
      <w:r w:rsidRPr="005D04FB">
        <w:t xml:space="preserve"> dans le TCO. Références : </w:t>
      </w:r>
      <w:r w:rsidRPr="005D04FB">
        <w:rPr>
          <w:b/>
          <w:bCs/>
        </w:rPr>
        <w:t>ANSSI (Hygiène)</w:t>
      </w:r>
      <w:r w:rsidRPr="005D04FB">
        <w:t>. (</w:t>
      </w:r>
      <w:hyperlink r:id="rId22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p w14:paraId="0B86907F" w14:textId="77777777" w:rsidR="005D04FB" w:rsidRPr="005D04FB" w:rsidRDefault="005D04FB" w:rsidP="005D04FB">
      <w:pPr>
        <w:pStyle w:val="Titre2"/>
      </w:pPr>
      <w:r w:rsidRPr="005D04FB">
        <w:t>6) KPI &amp; tableaux de bord (exemples)</w:t>
      </w:r>
    </w:p>
    <w:p w14:paraId="446218E0" w14:textId="77777777" w:rsidR="005D04FB" w:rsidRPr="005D04FB" w:rsidRDefault="005D04FB" w:rsidP="005D04FB">
      <w:pPr>
        <w:numPr>
          <w:ilvl w:val="0"/>
          <w:numId w:val="411"/>
        </w:numPr>
      </w:pPr>
      <w:r w:rsidRPr="005D04FB">
        <w:rPr>
          <w:b/>
          <w:bCs/>
        </w:rPr>
        <w:t>€ / unité fonctionnelle</w:t>
      </w:r>
      <w:r w:rsidRPr="005D04FB">
        <w:t xml:space="preserve"> : €/transaction, €/</w:t>
      </w:r>
      <w:proofErr w:type="spellStart"/>
      <w:r w:rsidRPr="005D04FB">
        <w:t>build</w:t>
      </w:r>
      <w:proofErr w:type="spellEnd"/>
      <w:r w:rsidRPr="005D04FB">
        <w:t>, €/utilisateur actif.</w:t>
      </w:r>
    </w:p>
    <w:p w14:paraId="026120D2" w14:textId="77777777" w:rsidR="005D04FB" w:rsidRPr="005D04FB" w:rsidRDefault="005D04FB" w:rsidP="005D04FB">
      <w:pPr>
        <w:numPr>
          <w:ilvl w:val="0"/>
          <w:numId w:val="411"/>
        </w:numPr>
      </w:pPr>
      <w:r w:rsidRPr="005D04FB">
        <w:rPr>
          <w:b/>
          <w:bCs/>
        </w:rPr>
        <w:lastRenderedPageBreak/>
        <w:t>Allocation</w:t>
      </w:r>
      <w:r w:rsidRPr="005D04FB">
        <w:t xml:space="preserve"> : % dépenses </w:t>
      </w:r>
      <w:proofErr w:type="spellStart"/>
      <w:r w:rsidRPr="005D04FB">
        <w:rPr>
          <w:b/>
          <w:bCs/>
        </w:rPr>
        <w:t>taggées</w:t>
      </w:r>
      <w:proofErr w:type="spellEnd"/>
      <w:r w:rsidRPr="005D04FB">
        <w:t xml:space="preserve"> et imputées, part “shared” ventilée. (</w:t>
      </w:r>
      <w:hyperlink r:id="rId23" w:tooltip="Allocation FinOps Framework Capability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6334CACA" w14:textId="77777777" w:rsidR="005D04FB" w:rsidRPr="005D04FB" w:rsidRDefault="005D04FB" w:rsidP="005D04FB">
      <w:pPr>
        <w:numPr>
          <w:ilvl w:val="0"/>
          <w:numId w:val="411"/>
        </w:numPr>
      </w:pPr>
      <w:r w:rsidRPr="005D04FB">
        <w:rPr>
          <w:b/>
          <w:bCs/>
        </w:rPr>
        <w:t>Optimisation</w:t>
      </w:r>
      <w:r w:rsidRPr="005D04FB">
        <w:t xml:space="preserve"> : % dépenses </w:t>
      </w:r>
      <w:r w:rsidRPr="005D04FB">
        <w:rPr>
          <w:b/>
          <w:bCs/>
        </w:rPr>
        <w:t>sous engagement</w:t>
      </w:r>
      <w:r w:rsidRPr="005D04FB">
        <w:t xml:space="preserve">, </w:t>
      </w:r>
      <w:r w:rsidRPr="005D04FB">
        <w:rPr>
          <w:b/>
          <w:bCs/>
        </w:rPr>
        <w:t>taux d’inactivité</w:t>
      </w:r>
      <w:r w:rsidRPr="005D04FB">
        <w:t xml:space="preserve">, </w:t>
      </w:r>
      <w:proofErr w:type="spellStart"/>
      <w:r w:rsidRPr="005D04FB">
        <w:rPr>
          <w:b/>
          <w:bCs/>
        </w:rPr>
        <w:t>droitsizing</w:t>
      </w:r>
      <w:proofErr w:type="spellEnd"/>
      <w:r w:rsidRPr="005D04FB">
        <w:t xml:space="preserve"> réalisé. (</w:t>
      </w:r>
      <w:hyperlink r:id="rId24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7B54918E" w14:textId="77777777" w:rsidR="005D04FB" w:rsidRPr="005D04FB" w:rsidRDefault="005D04FB" w:rsidP="005D04FB">
      <w:pPr>
        <w:numPr>
          <w:ilvl w:val="0"/>
          <w:numId w:val="411"/>
        </w:numPr>
      </w:pPr>
      <w:r w:rsidRPr="005D04FB">
        <w:rPr>
          <w:b/>
          <w:bCs/>
        </w:rPr>
        <w:t>Risque</w:t>
      </w:r>
      <w:r w:rsidRPr="005D04FB">
        <w:t xml:space="preserve"> : MTTR sécu, fréquence incidents, coût évité vs. baseline. (</w:t>
      </w:r>
      <w:hyperlink r:id="rId25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p w14:paraId="7660F430" w14:textId="77777777" w:rsidR="005D04FB" w:rsidRPr="005D04FB" w:rsidRDefault="005D04FB" w:rsidP="005D04FB">
      <w:pPr>
        <w:numPr>
          <w:ilvl w:val="0"/>
          <w:numId w:val="411"/>
        </w:numPr>
      </w:pPr>
      <w:r w:rsidRPr="005D04FB">
        <w:rPr>
          <w:b/>
          <w:bCs/>
        </w:rPr>
        <w:t>Écologie</w:t>
      </w:r>
      <w:r w:rsidRPr="005D04FB">
        <w:t xml:space="preserve"> : </w:t>
      </w:r>
      <w:proofErr w:type="spellStart"/>
      <w:r w:rsidRPr="005D04FB">
        <w:rPr>
          <w:b/>
          <w:bCs/>
        </w:rPr>
        <w:t>kgCO₂e</w:t>
      </w:r>
      <w:proofErr w:type="spellEnd"/>
      <w:r w:rsidRPr="005D04FB">
        <w:rPr>
          <w:b/>
          <w:bCs/>
        </w:rPr>
        <w:t>/service</w:t>
      </w:r>
      <w:r w:rsidRPr="005D04FB">
        <w:t xml:space="preserve"> et tendance (Cigref). (</w:t>
      </w:r>
      <w:hyperlink r:id="rId26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7F33724B" w14:textId="77777777" w:rsidR="005D04FB" w:rsidRPr="005D04FB" w:rsidRDefault="005D04FB" w:rsidP="005D04FB">
      <w:pPr>
        <w:pStyle w:val="Titre2"/>
      </w:pPr>
      <w:r w:rsidRPr="005D04FB">
        <w:t>7) Erreurs fréquentes (et comment les éviter)</w:t>
      </w:r>
    </w:p>
    <w:p w14:paraId="73B49BAF" w14:textId="77777777" w:rsidR="005D04FB" w:rsidRPr="005D04FB" w:rsidRDefault="005D04FB" w:rsidP="005D04FB">
      <w:pPr>
        <w:numPr>
          <w:ilvl w:val="0"/>
          <w:numId w:val="412"/>
        </w:numPr>
      </w:pPr>
      <w:proofErr w:type="spellStart"/>
      <w:r w:rsidRPr="005D04FB">
        <w:rPr>
          <w:b/>
          <w:bCs/>
        </w:rPr>
        <w:t>Sous-allocation</w:t>
      </w:r>
      <w:proofErr w:type="spellEnd"/>
      <w:r w:rsidRPr="005D04FB">
        <w:t xml:space="preserve"> des coûts (tags incohérents) → instaurer une politique </w:t>
      </w:r>
      <w:r w:rsidRPr="005D04FB">
        <w:rPr>
          <w:b/>
          <w:bCs/>
        </w:rPr>
        <w:t>d’étiquetage</w:t>
      </w:r>
      <w:r w:rsidRPr="005D04FB">
        <w:t xml:space="preserve"> obligatoire dès la prod. (</w:t>
      </w:r>
      <w:hyperlink r:id="rId27" w:tooltip="Allocation FinOps Framework Capability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72C5784A" w14:textId="77777777" w:rsidR="005D04FB" w:rsidRPr="005D04FB" w:rsidRDefault="005D04FB" w:rsidP="005D04FB">
      <w:pPr>
        <w:numPr>
          <w:ilvl w:val="0"/>
          <w:numId w:val="412"/>
        </w:numPr>
      </w:pPr>
      <w:r w:rsidRPr="005D04FB">
        <w:rPr>
          <w:b/>
          <w:bCs/>
        </w:rPr>
        <w:t>Oublier la réversibilité</w:t>
      </w:r>
      <w:r w:rsidRPr="005D04FB">
        <w:t xml:space="preserve"> (coût de sortie, </w:t>
      </w:r>
      <w:proofErr w:type="spellStart"/>
      <w:r w:rsidRPr="005D04FB">
        <w:t>egress</w:t>
      </w:r>
      <w:proofErr w:type="spellEnd"/>
      <w:r w:rsidRPr="005D04FB">
        <w:t xml:space="preserve">, portabilité) → clauses </w:t>
      </w:r>
      <w:r w:rsidRPr="005D04FB">
        <w:rPr>
          <w:b/>
          <w:bCs/>
        </w:rPr>
        <w:t>Cigref “Cloud de confiance”</w:t>
      </w:r>
      <w:r w:rsidRPr="005D04FB">
        <w:t xml:space="preserve"> dans tous les RFP. (</w:t>
      </w:r>
      <w:hyperlink r:id="rId28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1CA4A87E" w14:textId="77777777" w:rsidR="005D04FB" w:rsidRPr="005D04FB" w:rsidRDefault="005D04FB" w:rsidP="005D04FB">
      <w:pPr>
        <w:numPr>
          <w:ilvl w:val="0"/>
          <w:numId w:val="412"/>
        </w:numPr>
      </w:pPr>
      <w:r w:rsidRPr="005D04FB">
        <w:rPr>
          <w:b/>
          <w:bCs/>
        </w:rPr>
        <w:t>Ignorer le risque</w:t>
      </w:r>
      <w:r w:rsidRPr="005D04FB">
        <w:t xml:space="preserve"> (cyber, indispo) → valoriser prévention selon </w:t>
      </w:r>
      <w:r w:rsidRPr="005D04FB">
        <w:rPr>
          <w:b/>
          <w:bCs/>
        </w:rPr>
        <w:t>ANSSI</w:t>
      </w:r>
      <w:r w:rsidRPr="005D04FB">
        <w:t>. (</w:t>
      </w:r>
      <w:hyperlink r:id="rId29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p w14:paraId="73E0BC1E" w14:textId="77777777" w:rsidR="005D04FB" w:rsidRPr="005D04FB" w:rsidRDefault="005D04FB" w:rsidP="005D04FB">
      <w:pPr>
        <w:numPr>
          <w:ilvl w:val="0"/>
          <w:numId w:val="412"/>
        </w:numPr>
      </w:pPr>
      <w:r w:rsidRPr="005D04FB">
        <w:rPr>
          <w:b/>
          <w:bCs/>
        </w:rPr>
        <w:t>Ne pas lier coût et usage</w:t>
      </w:r>
      <w:r w:rsidRPr="005D04FB">
        <w:t xml:space="preserve"> → toujours ramener à une </w:t>
      </w:r>
      <w:r w:rsidRPr="005D04FB">
        <w:rPr>
          <w:b/>
          <w:bCs/>
        </w:rPr>
        <w:t>unité d’œuvre</w:t>
      </w:r>
      <w:r w:rsidRPr="005D04FB">
        <w:t xml:space="preserve"> (Cigref). (</w:t>
      </w:r>
      <w:hyperlink r:id="rId30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315AAF3A" w14:textId="77777777" w:rsidR="005D04FB" w:rsidRPr="005D04FB" w:rsidRDefault="005D04FB" w:rsidP="005D04FB">
      <w:pPr>
        <w:pStyle w:val="Titre2"/>
      </w:pPr>
      <w:r w:rsidRPr="005D04FB">
        <w:t>8) Gouvernance recommandée (12 mois)</w:t>
      </w:r>
    </w:p>
    <w:p w14:paraId="7F012121" w14:textId="77777777" w:rsidR="005D04FB" w:rsidRPr="005D04FB" w:rsidRDefault="005D04FB" w:rsidP="005D04FB">
      <w:pPr>
        <w:numPr>
          <w:ilvl w:val="0"/>
          <w:numId w:val="413"/>
        </w:numPr>
      </w:pPr>
      <w:r w:rsidRPr="005D04FB">
        <w:rPr>
          <w:b/>
          <w:bCs/>
        </w:rPr>
        <w:t>Trimestre 1</w:t>
      </w:r>
      <w:r w:rsidRPr="005D04FB">
        <w:t xml:space="preserve"> : inventaire “</w:t>
      </w:r>
      <w:r w:rsidRPr="005D04FB">
        <w:rPr>
          <w:b/>
          <w:bCs/>
        </w:rPr>
        <w:t>Cloud+</w:t>
      </w:r>
      <w:r w:rsidRPr="005D04FB">
        <w:t xml:space="preserve">”, modèle de </w:t>
      </w:r>
      <w:r w:rsidRPr="005D04FB">
        <w:rPr>
          <w:b/>
          <w:bCs/>
        </w:rPr>
        <w:t>Scopes</w:t>
      </w:r>
      <w:r w:rsidRPr="005D04FB">
        <w:t xml:space="preserve"> (Cloud, SaaS, </w:t>
      </w:r>
      <w:proofErr w:type="spellStart"/>
      <w:r w:rsidRPr="005D04FB">
        <w:t>GenAI</w:t>
      </w:r>
      <w:proofErr w:type="spellEnd"/>
      <w:r w:rsidRPr="005D04FB">
        <w:t xml:space="preserve">, DC), </w:t>
      </w:r>
      <w:r w:rsidRPr="005D04FB">
        <w:rPr>
          <w:b/>
          <w:bCs/>
        </w:rPr>
        <w:t>politique de tags</w:t>
      </w:r>
      <w:r w:rsidRPr="005D04FB">
        <w:t xml:space="preserve"> ; premier </w:t>
      </w:r>
      <w:proofErr w:type="spellStart"/>
      <w:r w:rsidRPr="005D04FB">
        <w:rPr>
          <w:b/>
          <w:bCs/>
        </w:rPr>
        <w:t>showback</w:t>
      </w:r>
      <w:proofErr w:type="spellEnd"/>
      <w:r w:rsidRPr="005D04FB">
        <w:t>. (</w:t>
      </w:r>
      <w:hyperlink r:id="rId31" w:tooltip="FinOps Scopes: Cloud+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6960DFC1" w14:textId="77777777" w:rsidR="005D04FB" w:rsidRPr="005D04FB" w:rsidRDefault="005D04FB" w:rsidP="005D04FB">
      <w:pPr>
        <w:numPr>
          <w:ilvl w:val="0"/>
          <w:numId w:val="413"/>
        </w:numPr>
      </w:pPr>
      <w:r w:rsidRPr="005D04FB">
        <w:rPr>
          <w:b/>
          <w:bCs/>
        </w:rPr>
        <w:t>Trimestre 2</w:t>
      </w:r>
      <w:r w:rsidRPr="005D04FB">
        <w:t xml:space="preserve"> : </w:t>
      </w:r>
      <w:proofErr w:type="spellStart"/>
      <w:r w:rsidRPr="005D04FB">
        <w:rPr>
          <w:b/>
          <w:bCs/>
        </w:rPr>
        <w:t>droitsizing</w:t>
      </w:r>
      <w:proofErr w:type="spellEnd"/>
      <w:r w:rsidRPr="005D04FB">
        <w:t xml:space="preserve"> + </w:t>
      </w:r>
      <w:r w:rsidRPr="005D04FB">
        <w:rPr>
          <w:b/>
          <w:bCs/>
        </w:rPr>
        <w:t>engagements</w:t>
      </w:r>
      <w:r w:rsidRPr="005D04FB">
        <w:t xml:space="preserve"> (1–3 ans), intégration </w:t>
      </w:r>
      <w:r w:rsidRPr="005D04FB">
        <w:rPr>
          <w:b/>
          <w:bCs/>
        </w:rPr>
        <w:t xml:space="preserve">KPI </w:t>
      </w:r>
      <w:proofErr w:type="spellStart"/>
      <w:r w:rsidRPr="005D04FB">
        <w:rPr>
          <w:b/>
          <w:bCs/>
        </w:rPr>
        <w:t>CO₂e</w:t>
      </w:r>
      <w:proofErr w:type="spellEnd"/>
      <w:r w:rsidRPr="005D04FB">
        <w:t xml:space="preserve"> (Cigref). (</w:t>
      </w:r>
      <w:hyperlink r:id="rId32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4474D730" w14:textId="77777777" w:rsidR="005D04FB" w:rsidRPr="005D04FB" w:rsidRDefault="005D04FB" w:rsidP="005D04FB">
      <w:pPr>
        <w:numPr>
          <w:ilvl w:val="0"/>
          <w:numId w:val="413"/>
        </w:numPr>
      </w:pPr>
      <w:r w:rsidRPr="005D04FB">
        <w:rPr>
          <w:b/>
          <w:bCs/>
        </w:rPr>
        <w:t>Trimestre 3</w:t>
      </w:r>
      <w:r w:rsidRPr="005D04FB">
        <w:t xml:space="preserve"> : </w:t>
      </w:r>
      <w:proofErr w:type="spellStart"/>
      <w:r w:rsidRPr="005D04FB">
        <w:rPr>
          <w:b/>
          <w:bCs/>
        </w:rPr>
        <w:t>chargeback</w:t>
      </w:r>
      <w:proofErr w:type="spellEnd"/>
      <w:r w:rsidRPr="005D04FB">
        <w:t xml:space="preserve"> sélectif, tableau de bord coût/risque/impact, exercices de crise (référentiel </w:t>
      </w:r>
      <w:r w:rsidRPr="005D04FB">
        <w:rPr>
          <w:b/>
          <w:bCs/>
        </w:rPr>
        <w:t>ANSSI</w:t>
      </w:r>
      <w:r w:rsidRPr="005D04FB">
        <w:t>). (</w:t>
      </w:r>
      <w:hyperlink r:id="rId33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p w14:paraId="517031BD" w14:textId="77777777" w:rsidR="005D04FB" w:rsidRPr="005D04FB" w:rsidRDefault="005D04FB" w:rsidP="005D04FB">
      <w:pPr>
        <w:numPr>
          <w:ilvl w:val="0"/>
          <w:numId w:val="413"/>
        </w:numPr>
      </w:pPr>
      <w:r w:rsidRPr="005D04FB">
        <w:rPr>
          <w:b/>
          <w:bCs/>
        </w:rPr>
        <w:t>Trimestre 4</w:t>
      </w:r>
      <w:r w:rsidRPr="005D04FB">
        <w:t xml:space="preserve"> : renégociation contrats avec </w:t>
      </w:r>
      <w:r w:rsidRPr="005D04FB">
        <w:rPr>
          <w:b/>
          <w:bCs/>
        </w:rPr>
        <w:t>CCTP “Cloud de confiance”</w:t>
      </w:r>
      <w:r w:rsidRPr="005D04FB">
        <w:t xml:space="preserve">, clauses de </w:t>
      </w:r>
      <w:r w:rsidRPr="005D04FB">
        <w:rPr>
          <w:b/>
          <w:bCs/>
        </w:rPr>
        <w:t>sortie</w:t>
      </w:r>
      <w:r w:rsidRPr="005D04FB">
        <w:t xml:space="preserve"> documentées. (</w:t>
      </w:r>
      <w:hyperlink r:id="rId34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6D334EE4" w14:textId="77777777" w:rsidR="005D04FB" w:rsidRPr="005D04FB" w:rsidRDefault="005D04FB" w:rsidP="005D04FB">
      <w:pPr>
        <w:pStyle w:val="Titre2"/>
      </w:pPr>
      <w:r w:rsidRPr="005D04FB">
        <w:t>9) Perspectives 2025–2027</w:t>
      </w:r>
    </w:p>
    <w:p w14:paraId="64666202" w14:textId="77777777" w:rsidR="005D04FB" w:rsidRPr="005D04FB" w:rsidRDefault="005D04FB" w:rsidP="005D04FB">
      <w:pPr>
        <w:numPr>
          <w:ilvl w:val="0"/>
          <w:numId w:val="414"/>
        </w:numPr>
      </w:pPr>
      <w:r w:rsidRPr="005D04FB">
        <w:rPr>
          <w:b/>
          <w:bCs/>
        </w:rPr>
        <w:t xml:space="preserve">TCO élargi → “Tech </w:t>
      </w:r>
      <w:proofErr w:type="spellStart"/>
      <w:r w:rsidRPr="005D04FB">
        <w:rPr>
          <w:b/>
          <w:bCs/>
        </w:rPr>
        <w:t>Spend</w:t>
      </w:r>
      <w:proofErr w:type="spellEnd"/>
      <w:r w:rsidRPr="005D04FB">
        <w:rPr>
          <w:b/>
          <w:bCs/>
        </w:rPr>
        <w:t>”</w:t>
      </w:r>
      <w:r w:rsidRPr="005D04FB">
        <w:t xml:space="preserve"> : convergence TCO/</w:t>
      </w:r>
      <w:proofErr w:type="spellStart"/>
      <w:r w:rsidRPr="005D04FB">
        <w:t>FinOps</w:t>
      </w:r>
      <w:proofErr w:type="spellEnd"/>
      <w:r w:rsidRPr="005D04FB">
        <w:t xml:space="preserve">/ITAM sur </w:t>
      </w:r>
      <w:r w:rsidRPr="005D04FB">
        <w:rPr>
          <w:b/>
          <w:bCs/>
        </w:rPr>
        <w:t>tous</w:t>
      </w:r>
      <w:r w:rsidRPr="005D04FB">
        <w:t xml:space="preserve"> les périmètres (Cloud, SaaS, DC, </w:t>
      </w:r>
      <w:proofErr w:type="spellStart"/>
      <w:r w:rsidRPr="005D04FB">
        <w:rPr>
          <w:b/>
          <w:bCs/>
        </w:rPr>
        <w:t>GenAI</w:t>
      </w:r>
      <w:proofErr w:type="spellEnd"/>
      <w:r w:rsidRPr="005D04FB">
        <w:t xml:space="preserve">). </w:t>
      </w:r>
      <w:proofErr w:type="spellStart"/>
      <w:r w:rsidRPr="005D04FB">
        <w:rPr>
          <w:b/>
          <w:bCs/>
        </w:rPr>
        <w:t>FinOps</w:t>
      </w:r>
      <w:proofErr w:type="spellEnd"/>
      <w:r w:rsidRPr="005D04FB">
        <w:rPr>
          <w:b/>
          <w:bCs/>
        </w:rPr>
        <w:t xml:space="preserve"> 2025</w:t>
      </w:r>
      <w:r w:rsidRPr="005D04FB">
        <w:t xml:space="preserve"> formalise cette extension via les </w:t>
      </w:r>
      <w:r w:rsidRPr="005D04FB">
        <w:rPr>
          <w:b/>
          <w:bCs/>
        </w:rPr>
        <w:t>Scopes</w:t>
      </w:r>
      <w:r w:rsidRPr="005D04FB">
        <w:t>. (</w:t>
      </w:r>
      <w:hyperlink r:id="rId35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46CAD732" w14:textId="77777777" w:rsidR="005D04FB" w:rsidRPr="005D04FB" w:rsidRDefault="005D04FB" w:rsidP="005D04FB">
      <w:pPr>
        <w:numPr>
          <w:ilvl w:val="0"/>
          <w:numId w:val="414"/>
        </w:numPr>
      </w:pPr>
      <w:r w:rsidRPr="005D04FB">
        <w:rPr>
          <w:b/>
          <w:bCs/>
        </w:rPr>
        <w:t>Double pilotage coût/</w:t>
      </w:r>
      <w:proofErr w:type="spellStart"/>
      <w:r w:rsidRPr="005D04FB">
        <w:rPr>
          <w:b/>
          <w:bCs/>
        </w:rPr>
        <w:t>CO₂e</w:t>
      </w:r>
      <w:proofErr w:type="spellEnd"/>
      <w:r w:rsidRPr="005D04FB">
        <w:t xml:space="preserve"> : généralisation des tableaux de bord </w:t>
      </w:r>
      <w:r w:rsidRPr="005D04FB">
        <w:rPr>
          <w:b/>
          <w:bCs/>
        </w:rPr>
        <w:t xml:space="preserve">€ &amp; </w:t>
      </w:r>
      <w:proofErr w:type="spellStart"/>
      <w:r w:rsidRPr="005D04FB">
        <w:rPr>
          <w:b/>
          <w:bCs/>
        </w:rPr>
        <w:t>kgCO₂e</w:t>
      </w:r>
      <w:proofErr w:type="spellEnd"/>
      <w:r w:rsidRPr="005D04FB">
        <w:t xml:space="preserve"> au niveau </w:t>
      </w:r>
      <w:r w:rsidRPr="005D04FB">
        <w:rPr>
          <w:b/>
          <w:bCs/>
        </w:rPr>
        <w:t>service</w:t>
      </w:r>
      <w:r w:rsidRPr="005D04FB">
        <w:t xml:space="preserve"> (Cigref). (</w:t>
      </w:r>
      <w:hyperlink r:id="rId36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6EAE654A" w14:textId="77777777" w:rsidR="005D04FB" w:rsidRPr="005D04FB" w:rsidRDefault="005D04FB" w:rsidP="005D04FB">
      <w:pPr>
        <w:numPr>
          <w:ilvl w:val="0"/>
          <w:numId w:val="414"/>
        </w:numPr>
      </w:pPr>
      <w:r w:rsidRPr="005D04FB">
        <w:rPr>
          <w:b/>
          <w:bCs/>
        </w:rPr>
        <w:t>Contrats “confiance &amp; réversibilité”</w:t>
      </w:r>
      <w:r w:rsidRPr="005D04FB">
        <w:t xml:space="preserve"> : les </w:t>
      </w:r>
      <w:r w:rsidRPr="005D04FB">
        <w:rPr>
          <w:b/>
          <w:bCs/>
        </w:rPr>
        <w:t>CCTP 2024</w:t>
      </w:r>
      <w:r w:rsidRPr="005D04FB">
        <w:t xml:space="preserve"> servent de standard de fait pour limiter l’enfermement éditeur/cloud. (</w:t>
      </w:r>
      <w:hyperlink r:id="rId37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061DE3BF" w14:textId="77777777" w:rsidR="005D04FB" w:rsidRPr="005D04FB" w:rsidRDefault="005D04FB" w:rsidP="005D04FB">
      <w:pPr>
        <w:pStyle w:val="Titre2"/>
      </w:pPr>
      <w:r w:rsidRPr="005D04FB">
        <w:t>10) Glossaire (sigles et termes clés)</w:t>
      </w:r>
    </w:p>
    <w:p w14:paraId="43B6CD62" w14:textId="77777777" w:rsidR="005D04FB" w:rsidRPr="005D04FB" w:rsidRDefault="005D04FB" w:rsidP="005D04FB">
      <w:pPr>
        <w:numPr>
          <w:ilvl w:val="0"/>
          <w:numId w:val="415"/>
        </w:numPr>
      </w:pPr>
      <w:proofErr w:type="gramStart"/>
      <w:r w:rsidRPr="005D04FB">
        <w:rPr>
          <w:b/>
          <w:bCs/>
          <w:lang w:val="en-GB"/>
        </w:rPr>
        <w:t>TCO</w:t>
      </w:r>
      <w:r w:rsidRPr="005D04FB">
        <w:rPr>
          <w:lang w:val="en-GB"/>
        </w:rPr>
        <w:t xml:space="preserve"> :</w:t>
      </w:r>
      <w:proofErr w:type="gramEnd"/>
      <w:r w:rsidRPr="005D04FB">
        <w:rPr>
          <w:lang w:val="en-GB"/>
        </w:rPr>
        <w:t xml:space="preserve"> </w:t>
      </w:r>
      <w:r w:rsidRPr="005D04FB">
        <w:rPr>
          <w:i/>
          <w:iCs/>
          <w:lang w:val="en-GB"/>
        </w:rPr>
        <w:t>Total Cost of Ownership</w:t>
      </w:r>
      <w:r w:rsidRPr="005D04FB">
        <w:rPr>
          <w:lang w:val="en-GB"/>
        </w:rPr>
        <w:t xml:space="preserve"> — </w:t>
      </w:r>
      <w:proofErr w:type="spellStart"/>
      <w:r w:rsidRPr="005D04FB">
        <w:rPr>
          <w:lang w:val="en-GB"/>
        </w:rPr>
        <w:t>coût</w:t>
      </w:r>
      <w:proofErr w:type="spellEnd"/>
      <w:r w:rsidRPr="005D04FB">
        <w:rPr>
          <w:lang w:val="en-GB"/>
        </w:rPr>
        <w:t xml:space="preserve"> total de possession. </w:t>
      </w:r>
      <w:r w:rsidRPr="005D04FB">
        <w:t>Définition Gartner appliquée à l’IT. (</w:t>
      </w:r>
      <w:hyperlink r:id="rId38" w:tooltip="Total Cost of Ownership (TCO) - Gartner Glossary" w:history="1">
        <w:r w:rsidRPr="005D04FB">
          <w:rPr>
            <w:rStyle w:val="Lienhypertexte"/>
          </w:rPr>
          <w:t>Gartner</w:t>
        </w:r>
      </w:hyperlink>
      <w:r w:rsidRPr="005D04FB">
        <w:t>)</w:t>
      </w:r>
    </w:p>
    <w:p w14:paraId="56F20EE1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Capex</w:t>
      </w:r>
      <w:r w:rsidRPr="005D04FB">
        <w:t xml:space="preserve"> : dépenses </w:t>
      </w:r>
      <w:r w:rsidRPr="005D04FB">
        <w:rPr>
          <w:b/>
          <w:bCs/>
        </w:rPr>
        <w:t>d’investissement</w:t>
      </w:r>
      <w:r w:rsidRPr="005D04FB">
        <w:t xml:space="preserve"> (actifs immobilisés).</w:t>
      </w:r>
    </w:p>
    <w:p w14:paraId="1F31A542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Opex</w:t>
      </w:r>
      <w:r w:rsidRPr="005D04FB">
        <w:t xml:space="preserve"> : dépenses </w:t>
      </w:r>
      <w:r w:rsidRPr="005D04FB">
        <w:rPr>
          <w:b/>
          <w:bCs/>
        </w:rPr>
        <w:t>de fonctionnement</w:t>
      </w:r>
      <w:r w:rsidRPr="005D04FB">
        <w:t xml:space="preserve"> (abonnements, support, énergie, services managés).</w:t>
      </w:r>
    </w:p>
    <w:p w14:paraId="4E9D8E72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DSI</w:t>
      </w:r>
      <w:r w:rsidRPr="005D04FB">
        <w:t xml:space="preserve"> : Direction des Systèmes d’Information.</w:t>
      </w:r>
    </w:p>
    <w:p w14:paraId="0D6E9178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ITAM</w:t>
      </w:r>
      <w:r w:rsidRPr="005D04FB">
        <w:t xml:space="preserve"> : </w:t>
      </w:r>
      <w:r w:rsidRPr="005D04FB">
        <w:rPr>
          <w:i/>
          <w:iCs/>
        </w:rPr>
        <w:t>IT Asset Management</w:t>
      </w:r>
      <w:r w:rsidRPr="005D04FB">
        <w:t xml:space="preserve"> — gestion des actifs IT.</w:t>
      </w:r>
    </w:p>
    <w:p w14:paraId="65CF6B34" w14:textId="77777777" w:rsidR="005D04FB" w:rsidRPr="005D04FB" w:rsidRDefault="005D04FB" w:rsidP="005D04FB">
      <w:pPr>
        <w:numPr>
          <w:ilvl w:val="0"/>
          <w:numId w:val="415"/>
        </w:numPr>
      </w:pPr>
      <w:proofErr w:type="spellStart"/>
      <w:r w:rsidRPr="005D04FB">
        <w:rPr>
          <w:b/>
          <w:bCs/>
        </w:rPr>
        <w:t>FinOps</w:t>
      </w:r>
      <w:proofErr w:type="spellEnd"/>
      <w:r w:rsidRPr="005D04FB">
        <w:t xml:space="preserve"> : pratique de </w:t>
      </w:r>
      <w:r w:rsidRPr="005D04FB">
        <w:rPr>
          <w:b/>
          <w:bCs/>
        </w:rPr>
        <w:t>gouvernance économique</w:t>
      </w:r>
      <w:r w:rsidRPr="005D04FB">
        <w:t xml:space="preserve"> du cloud et, en 2025, du “</w:t>
      </w:r>
      <w:r w:rsidRPr="005D04FB">
        <w:rPr>
          <w:b/>
          <w:bCs/>
        </w:rPr>
        <w:t>Cloud+</w:t>
      </w:r>
      <w:r w:rsidRPr="005D04FB">
        <w:t xml:space="preserve">” (Cloud, DC, SaaS, </w:t>
      </w:r>
      <w:proofErr w:type="spellStart"/>
      <w:r w:rsidRPr="005D04FB">
        <w:t>GenAI</w:t>
      </w:r>
      <w:proofErr w:type="spellEnd"/>
      <w:r w:rsidRPr="005D04FB">
        <w:t xml:space="preserve">) via le </w:t>
      </w:r>
      <w:proofErr w:type="spellStart"/>
      <w:r w:rsidRPr="005D04FB">
        <w:rPr>
          <w:b/>
          <w:bCs/>
        </w:rPr>
        <w:t>FinOps</w:t>
      </w:r>
      <w:proofErr w:type="spellEnd"/>
      <w:r w:rsidRPr="005D04FB">
        <w:rPr>
          <w:b/>
          <w:bCs/>
        </w:rPr>
        <w:t xml:space="preserve"> Framework</w:t>
      </w:r>
      <w:r w:rsidRPr="005D04FB">
        <w:t>. (</w:t>
      </w:r>
      <w:hyperlink r:id="rId39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61509616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Scope (</w:t>
      </w:r>
      <w:proofErr w:type="spellStart"/>
      <w:r w:rsidRPr="005D04FB">
        <w:rPr>
          <w:b/>
          <w:bCs/>
        </w:rPr>
        <w:t>FinOps</w:t>
      </w:r>
      <w:proofErr w:type="spellEnd"/>
      <w:r w:rsidRPr="005D04FB">
        <w:rPr>
          <w:b/>
          <w:bCs/>
        </w:rPr>
        <w:t>)</w:t>
      </w:r>
      <w:r w:rsidRPr="005D04FB">
        <w:t xml:space="preserve"> : périmètre de coûts/usage (Public Cloud, Data Center, SaaS, </w:t>
      </w:r>
      <w:proofErr w:type="spellStart"/>
      <w:r w:rsidRPr="005D04FB">
        <w:t>GenAI</w:t>
      </w:r>
      <w:proofErr w:type="spellEnd"/>
      <w:r w:rsidRPr="005D04FB">
        <w:t>…), structurant l’allocation et le pilotage. (</w:t>
      </w:r>
      <w:hyperlink r:id="rId40" w:tooltip="FinOps Scopes: Cloud+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6B9AAEEB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lastRenderedPageBreak/>
        <w:t>Allocation (</w:t>
      </w:r>
      <w:proofErr w:type="spellStart"/>
      <w:r w:rsidRPr="005D04FB">
        <w:rPr>
          <w:b/>
          <w:bCs/>
        </w:rPr>
        <w:t>FinOps</w:t>
      </w:r>
      <w:proofErr w:type="spellEnd"/>
      <w:r w:rsidRPr="005D04FB">
        <w:rPr>
          <w:b/>
          <w:bCs/>
        </w:rPr>
        <w:t>)</w:t>
      </w:r>
      <w:r w:rsidRPr="005D04FB">
        <w:t xml:space="preserve"> : répartition des dépenses par responsable (tags, labels, métadonnées). (</w:t>
      </w:r>
      <w:hyperlink r:id="rId41" w:tooltip="Allocation FinOps Framework Capability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283560EA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IaaS/PaaS/SaaS</w:t>
      </w:r>
      <w:r w:rsidRPr="005D04FB">
        <w:t xml:space="preserve"> : modèles cloud </w:t>
      </w:r>
      <w:r w:rsidRPr="005D04FB">
        <w:rPr>
          <w:b/>
          <w:bCs/>
        </w:rPr>
        <w:t>Infrastructure/Platform/Software</w:t>
      </w:r>
      <w:r w:rsidRPr="005D04FB">
        <w:t xml:space="preserve"> “as a Service”.</w:t>
      </w:r>
    </w:p>
    <w:p w14:paraId="22D3A815" w14:textId="77777777" w:rsidR="005D04FB" w:rsidRPr="005D04FB" w:rsidRDefault="005D04FB" w:rsidP="005D04FB">
      <w:pPr>
        <w:numPr>
          <w:ilvl w:val="0"/>
          <w:numId w:val="415"/>
        </w:numPr>
      </w:pPr>
      <w:proofErr w:type="spellStart"/>
      <w:r w:rsidRPr="005D04FB">
        <w:rPr>
          <w:b/>
          <w:bCs/>
        </w:rPr>
        <w:t>Showback</w:t>
      </w:r>
      <w:proofErr w:type="spellEnd"/>
      <w:r w:rsidRPr="005D04FB">
        <w:rPr>
          <w:b/>
          <w:bCs/>
        </w:rPr>
        <w:t>/</w:t>
      </w:r>
      <w:proofErr w:type="spellStart"/>
      <w:r w:rsidRPr="005D04FB">
        <w:rPr>
          <w:b/>
          <w:bCs/>
        </w:rPr>
        <w:t>Chargeback</w:t>
      </w:r>
      <w:proofErr w:type="spellEnd"/>
      <w:r w:rsidRPr="005D04FB">
        <w:t xml:space="preserve"> : restitution/ refacturation interne des coûts aux équipes consommatrices.</w:t>
      </w:r>
    </w:p>
    <w:p w14:paraId="2CE3F483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RI / Savings Plans</w:t>
      </w:r>
      <w:r w:rsidRPr="005D04FB">
        <w:t xml:space="preserve"> : engagements tarifaires long terme chez les </w:t>
      </w:r>
      <w:proofErr w:type="spellStart"/>
      <w:r w:rsidRPr="005D04FB">
        <w:t>hyperscalers</w:t>
      </w:r>
      <w:proofErr w:type="spellEnd"/>
      <w:r w:rsidRPr="005D04FB">
        <w:t xml:space="preserve"> (réduction). (</w:t>
      </w:r>
      <w:hyperlink r:id="rId42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402818FC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SOC/MDR</w:t>
      </w:r>
      <w:r w:rsidRPr="005D04FB">
        <w:t xml:space="preserve"> : </w:t>
      </w:r>
      <w:r w:rsidRPr="005D04FB">
        <w:rPr>
          <w:i/>
          <w:iCs/>
        </w:rPr>
        <w:t>Security Operations Center</w:t>
      </w:r>
      <w:r w:rsidRPr="005D04FB">
        <w:t xml:space="preserve"> / </w:t>
      </w:r>
      <w:r w:rsidRPr="005D04FB">
        <w:rPr>
          <w:i/>
          <w:iCs/>
        </w:rPr>
        <w:t>Managed Detection &amp; Response</w:t>
      </w:r>
      <w:r w:rsidRPr="005D04FB">
        <w:t xml:space="preserve"> — centre/opérateur de détection et réponse.</w:t>
      </w:r>
    </w:p>
    <w:p w14:paraId="5D535BC1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ANSSI</w:t>
      </w:r>
      <w:r w:rsidRPr="005D04FB">
        <w:t xml:space="preserve"> : Agence nationale de la sécurité des systèmes d’information (France) — </w:t>
      </w:r>
      <w:r w:rsidRPr="005D04FB">
        <w:rPr>
          <w:b/>
          <w:bCs/>
        </w:rPr>
        <w:t>guide d’hygiène en 42 mesures</w:t>
      </w:r>
      <w:r w:rsidRPr="005D04FB">
        <w:t>. (</w:t>
      </w:r>
      <w:hyperlink r:id="rId43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p w14:paraId="61F3DDA4" w14:textId="77777777" w:rsidR="005D04FB" w:rsidRPr="005D04FB" w:rsidRDefault="005D04FB" w:rsidP="005D04FB">
      <w:pPr>
        <w:numPr>
          <w:ilvl w:val="0"/>
          <w:numId w:val="415"/>
        </w:numPr>
      </w:pPr>
      <w:r w:rsidRPr="005D04FB">
        <w:rPr>
          <w:b/>
          <w:bCs/>
        </w:rPr>
        <w:t>RFP/CCTP</w:t>
      </w:r>
      <w:r w:rsidRPr="005D04FB">
        <w:t xml:space="preserve"> : </w:t>
      </w:r>
      <w:proofErr w:type="spellStart"/>
      <w:r w:rsidRPr="005D04FB">
        <w:rPr>
          <w:i/>
          <w:iCs/>
        </w:rPr>
        <w:t>Request</w:t>
      </w:r>
      <w:proofErr w:type="spellEnd"/>
      <w:r w:rsidRPr="005D04FB">
        <w:rPr>
          <w:i/>
          <w:iCs/>
        </w:rPr>
        <w:t xml:space="preserve"> For </w:t>
      </w:r>
      <w:proofErr w:type="spellStart"/>
      <w:r w:rsidRPr="005D04FB">
        <w:rPr>
          <w:i/>
          <w:iCs/>
        </w:rPr>
        <w:t>Proposal</w:t>
      </w:r>
      <w:proofErr w:type="spellEnd"/>
      <w:r w:rsidRPr="005D04FB">
        <w:t xml:space="preserve"> / </w:t>
      </w:r>
      <w:r w:rsidRPr="005D04FB">
        <w:rPr>
          <w:b/>
          <w:bCs/>
        </w:rPr>
        <w:t>Cahier des Clauses Techniques Particulières</w:t>
      </w:r>
      <w:r w:rsidRPr="005D04FB">
        <w:t xml:space="preserve"> (exigences </w:t>
      </w:r>
      <w:r w:rsidRPr="005D04FB">
        <w:rPr>
          <w:b/>
          <w:bCs/>
        </w:rPr>
        <w:t>Cigref</w:t>
      </w:r>
      <w:r w:rsidRPr="005D04FB">
        <w:t xml:space="preserve"> pour </w:t>
      </w:r>
      <w:r w:rsidRPr="005D04FB">
        <w:rPr>
          <w:b/>
          <w:bCs/>
        </w:rPr>
        <w:t>Cloud de confiance</w:t>
      </w:r>
      <w:r w:rsidRPr="005D04FB">
        <w:t>). (</w:t>
      </w:r>
      <w:hyperlink r:id="rId44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638AD74F" w14:textId="77777777" w:rsidR="005D04FB" w:rsidRPr="005D04FB" w:rsidRDefault="005D04FB" w:rsidP="005D04FB">
      <w:pPr>
        <w:numPr>
          <w:ilvl w:val="0"/>
          <w:numId w:val="415"/>
        </w:numPr>
      </w:pPr>
      <w:proofErr w:type="spellStart"/>
      <w:r w:rsidRPr="005D04FB">
        <w:rPr>
          <w:b/>
          <w:bCs/>
        </w:rPr>
        <w:t>CO₂e</w:t>
      </w:r>
      <w:proofErr w:type="spellEnd"/>
      <w:r w:rsidRPr="005D04FB">
        <w:t xml:space="preserve"> : dioxyde de carbone équivalent (indicateur d’empreinte climat).</w:t>
      </w:r>
    </w:p>
    <w:p w14:paraId="31FF5BE3" w14:textId="77777777" w:rsidR="005D04FB" w:rsidRPr="005D04FB" w:rsidRDefault="005D04FB" w:rsidP="005D04FB">
      <w:pPr>
        <w:rPr>
          <w:b/>
          <w:bCs/>
        </w:rPr>
      </w:pPr>
      <w:r w:rsidRPr="005D04FB">
        <w:rPr>
          <w:b/>
          <w:bCs/>
        </w:rPr>
        <w:t>Références (sélection)</w:t>
      </w:r>
    </w:p>
    <w:p w14:paraId="2C74ECB5" w14:textId="77777777" w:rsidR="005D04FB" w:rsidRPr="005D04FB" w:rsidRDefault="005D04FB" w:rsidP="005D04FB">
      <w:pPr>
        <w:numPr>
          <w:ilvl w:val="0"/>
          <w:numId w:val="416"/>
        </w:numPr>
      </w:pPr>
      <w:r w:rsidRPr="005D04FB">
        <w:rPr>
          <w:b/>
          <w:bCs/>
        </w:rPr>
        <w:t>Cigref</w:t>
      </w:r>
      <w:r w:rsidRPr="005D04FB">
        <w:t xml:space="preserve"> — </w:t>
      </w:r>
      <w:r w:rsidRPr="005D04FB">
        <w:rPr>
          <w:i/>
          <w:iCs/>
        </w:rPr>
        <w:t>Modèle de pilotage économique &amp; écologique de l’IT</w:t>
      </w:r>
      <w:r w:rsidRPr="005D04FB">
        <w:t xml:space="preserve"> (2022) ; page annonce/présentation. (</w:t>
      </w:r>
      <w:hyperlink r:id="rId45" w:tooltip="Modèle de pilotage économique et écologique de l'IT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1CA99C0B" w14:textId="77777777" w:rsidR="005D04FB" w:rsidRPr="005D04FB" w:rsidRDefault="005D04FB" w:rsidP="005D04FB">
      <w:pPr>
        <w:numPr>
          <w:ilvl w:val="0"/>
          <w:numId w:val="416"/>
        </w:numPr>
      </w:pPr>
      <w:r w:rsidRPr="005D04FB">
        <w:rPr>
          <w:b/>
          <w:bCs/>
        </w:rPr>
        <w:t>Cigref</w:t>
      </w:r>
      <w:r w:rsidRPr="005D04FB">
        <w:t xml:space="preserve"> — </w:t>
      </w:r>
      <w:r w:rsidRPr="005D04FB">
        <w:rPr>
          <w:b/>
          <w:bCs/>
        </w:rPr>
        <w:t>CCTP “Cloud de confiance” pour RFP</w:t>
      </w:r>
      <w:r w:rsidRPr="005D04FB">
        <w:t xml:space="preserve"> (FR/EN, 2024). (</w:t>
      </w:r>
      <w:hyperlink r:id="rId46" w:tooltip="Cahier des clauses techniques particulières" w:history="1">
        <w:r w:rsidRPr="005D04FB">
          <w:rPr>
            <w:rStyle w:val="Lienhypertexte"/>
          </w:rPr>
          <w:t>Cigref</w:t>
        </w:r>
      </w:hyperlink>
      <w:r w:rsidRPr="005D04FB">
        <w:t>)</w:t>
      </w:r>
    </w:p>
    <w:p w14:paraId="31D425FE" w14:textId="77777777" w:rsidR="005D04FB" w:rsidRPr="005D04FB" w:rsidRDefault="005D04FB" w:rsidP="005D04FB">
      <w:pPr>
        <w:numPr>
          <w:ilvl w:val="0"/>
          <w:numId w:val="416"/>
        </w:numPr>
      </w:pPr>
      <w:r w:rsidRPr="005D04FB">
        <w:rPr>
          <w:b/>
          <w:bCs/>
          <w:lang w:val="en-GB"/>
        </w:rPr>
        <w:t>FinOps Foundation</w:t>
      </w:r>
      <w:r w:rsidRPr="005D04FB">
        <w:rPr>
          <w:lang w:val="en-GB"/>
        </w:rPr>
        <w:t xml:space="preserve"> — </w:t>
      </w:r>
      <w:r w:rsidRPr="005D04FB">
        <w:rPr>
          <w:i/>
          <w:iCs/>
          <w:lang w:val="en-GB"/>
        </w:rPr>
        <w:t>Framework 2025</w:t>
      </w:r>
      <w:r w:rsidRPr="005D04FB">
        <w:rPr>
          <w:lang w:val="en-GB"/>
        </w:rPr>
        <w:t xml:space="preserve"> (Cloud+, Scopes</w:t>
      </w:r>
      <w:proofErr w:type="gramStart"/>
      <w:r w:rsidRPr="005D04FB">
        <w:rPr>
          <w:lang w:val="en-GB"/>
        </w:rPr>
        <w:t>) ;</w:t>
      </w:r>
      <w:proofErr w:type="gramEnd"/>
      <w:r w:rsidRPr="005D04FB">
        <w:rPr>
          <w:lang w:val="en-GB"/>
        </w:rPr>
        <w:t xml:space="preserve"> </w:t>
      </w:r>
      <w:r w:rsidRPr="005D04FB">
        <w:rPr>
          <w:b/>
          <w:bCs/>
          <w:lang w:val="en-GB"/>
        </w:rPr>
        <w:t>Allocation capability</w:t>
      </w:r>
      <w:r w:rsidRPr="005D04FB">
        <w:rPr>
          <w:lang w:val="en-GB"/>
        </w:rPr>
        <w:t xml:space="preserve">. </w:t>
      </w:r>
      <w:r w:rsidRPr="005D04FB">
        <w:t>(</w:t>
      </w:r>
      <w:hyperlink r:id="rId47" w:tooltip="Framework 2025 reflects the addition of Scopes as a core ..." w:history="1">
        <w:r w:rsidRPr="005D04FB">
          <w:rPr>
            <w:rStyle w:val="Lienhypertexte"/>
          </w:rPr>
          <w:t>finops.org</w:t>
        </w:r>
      </w:hyperlink>
      <w:r w:rsidRPr="005D04FB">
        <w:t>)</w:t>
      </w:r>
    </w:p>
    <w:p w14:paraId="32C24C81" w14:textId="77777777" w:rsidR="005D04FB" w:rsidRPr="005D04FB" w:rsidRDefault="005D04FB" w:rsidP="005D04FB">
      <w:pPr>
        <w:numPr>
          <w:ilvl w:val="0"/>
          <w:numId w:val="416"/>
        </w:numPr>
      </w:pPr>
      <w:r w:rsidRPr="005D04FB">
        <w:rPr>
          <w:b/>
          <w:bCs/>
          <w:lang w:val="en-GB"/>
        </w:rPr>
        <w:t>Gartner</w:t>
      </w:r>
      <w:r w:rsidRPr="005D04FB">
        <w:rPr>
          <w:lang w:val="en-GB"/>
        </w:rPr>
        <w:t xml:space="preserve"> — </w:t>
      </w:r>
      <w:r w:rsidRPr="005D04FB">
        <w:rPr>
          <w:i/>
          <w:iCs/>
          <w:lang w:val="en-GB"/>
        </w:rPr>
        <w:t>Total Cost of Ownership (TCO) – Glossary</w:t>
      </w:r>
      <w:r w:rsidRPr="005D04FB">
        <w:rPr>
          <w:lang w:val="en-GB"/>
        </w:rPr>
        <w:t xml:space="preserve">. </w:t>
      </w:r>
      <w:r w:rsidRPr="005D04FB">
        <w:t>(</w:t>
      </w:r>
      <w:hyperlink r:id="rId48" w:tooltip="Total Cost of Ownership (TCO) - Gartner Glossary" w:history="1">
        <w:r w:rsidRPr="005D04FB">
          <w:rPr>
            <w:rStyle w:val="Lienhypertexte"/>
          </w:rPr>
          <w:t>Gartner</w:t>
        </w:r>
      </w:hyperlink>
      <w:r w:rsidRPr="005D04FB">
        <w:t>)</w:t>
      </w:r>
    </w:p>
    <w:p w14:paraId="62FDB26C" w14:textId="77777777" w:rsidR="005D04FB" w:rsidRPr="005D04FB" w:rsidRDefault="005D04FB" w:rsidP="005D04FB">
      <w:pPr>
        <w:numPr>
          <w:ilvl w:val="0"/>
          <w:numId w:val="416"/>
        </w:numPr>
      </w:pPr>
      <w:r w:rsidRPr="005D04FB">
        <w:rPr>
          <w:b/>
          <w:bCs/>
        </w:rPr>
        <w:t>ANSSI</w:t>
      </w:r>
      <w:r w:rsidRPr="005D04FB">
        <w:t xml:space="preserve"> — </w:t>
      </w:r>
      <w:r w:rsidRPr="005D04FB">
        <w:rPr>
          <w:i/>
          <w:iCs/>
        </w:rPr>
        <w:t>Guide d’hygiène informatique – 42 mesures</w:t>
      </w:r>
      <w:r w:rsidRPr="005D04FB">
        <w:t xml:space="preserve"> (fiche portail). (</w:t>
      </w:r>
      <w:hyperlink r:id="rId49" w:tooltip="Guide d'hygiène informatique" w:history="1">
        <w:r w:rsidRPr="005D04FB">
          <w:rPr>
            <w:rStyle w:val="Lienhypertexte"/>
          </w:rPr>
          <w:t>cyber.gouv.fr</w:t>
        </w:r>
      </w:hyperlink>
      <w:r w:rsidRPr="005D04FB">
        <w:t>)</w:t>
      </w:r>
    </w:p>
    <w:sectPr w:rsidR="005D04FB" w:rsidRPr="005D04FB" w:rsidSect="00D00629">
      <w:footerReference w:type="default" r:id="rId5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FBB1" w14:textId="77777777" w:rsidR="005A31A9" w:rsidRDefault="005A31A9" w:rsidP="00B870C7">
      <w:r>
        <w:separator/>
      </w:r>
    </w:p>
  </w:endnote>
  <w:endnote w:type="continuationSeparator" w:id="0">
    <w:p w14:paraId="7DFF8539" w14:textId="77777777" w:rsidR="005A31A9" w:rsidRDefault="005A31A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FD45" w14:textId="77777777" w:rsidR="005A31A9" w:rsidRDefault="005A31A9" w:rsidP="00B870C7">
      <w:r>
        <w:separator/>
      </w:r>
    </w:p>
  </w:footnote>
  <w:footnote w:type="continuationSeparator" w:id="0">
    <w:p w14:paraId="72432EAF" w14:textId="77777777" w:rsidR="005A31A9" w:rsidRDefault="005A31A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67ED0"/>
    <w:multiLevelType w:val="multilevel"/>
    <w:tmpl w:val="AF1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4923AD"/>
    <w:multiLevelType w:val="multilevel"/>
    <w:tmpl w:val="D4F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602E6F"/>
    <w:multiLevelType w:val="multilevel"/>
    <w:tmpl w:val="20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C25A89"/>
    <w:multiLevelType w:val="multilevel"/>
    <w:tmpl w:val="EBF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530CD2"/>
    <w:multiLevelType w:val="multilevel"/>
    <w:tmpl w:val="FF4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AF3443"/>
    <w:multiLevelType w:val="multilevel"/>
    <w:tmpl w:val="640C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714AEE"/>
    <w:multiLevelType w:val="multilevel"/>
    <w:tmpl w:val="A00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D6535D"/>
    <w:multiLevelType w:val="multilevel"/>
    <w:tmpl w:val="A68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7274A8"/>
    <w:multiLevelType w:val="multilevel"/>
    <w:tmpl w:val="2B6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8B43E5"/>
    <w:multiLevelType w:val="multilevel"/>
    <w:tmpl w:val="B70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E13E6A"/>
    <w:multiLevelType w:val="multilevel"/>
    <w:tmpl w:val="665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3C249B0"/>
    <w:multiLevelType w:val="multilevel"/>
    <w:tmpl w:val="457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80144E"/>
    <w:multiLevelType w:val="multilevel"/>
    <w:tmpl w:val="6C5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B7C3F16"/>
    <w:multiLevelType w:val="multilevel"/>
    <w:tmpl w:val="C20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E660972"/>
    <w:multiLevelType w:val="multilevel"/>
    <w:tmpl w:val="FCA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9464BD4"/>
    <w:multiLevelType w:val="multilevel"/>
    <w:tmpl w:val="73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DCB2AE1"/>
    <w:multiLevelType w:val="multilevel"/>
    <w:tmpl w:val="43B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6"/>
  </w:num>
  <w:num w:numId="2" w16cid:durableId="1969772821">
    <w:abstractNumId w:val="117"/>
  </w:num>
  <w:num w:numId="3" w16cid:durableId="993755049">
    <w:abstractNumId w:val="258"/>
  </w:num>
  <w:num w:numId="4" w16cid:durableId="586116025">
    <w:abstractNumId w:val="348"/>
  </w:num>
  <w:num w:numId="5" w16cid:durableId="1702245743">
    <w:abstractNumId w:val="368"/>
  </w:num>
  <w:num w:numId="6" w16cid:durableId="1128276001">
    <w:abstractNumId w:val="190"/>
  </w:num>
  <w:num w:numId="7" w16cid:durableId="299381959">
    <w:abstractNumId w:val="228"/>
  </w:num>
  <w:num w:numId="8" w16cid:durableId="743184661">
    <w:abstractNumId w:val="365"/>
  </w:num>
  <w:num w:numId="9" w16cid:durableId="1202087570">
    <w:abstractNumId w:val="394"/>
  </w:num>
  <w:num w:numId="10" w16cid:durableId="1028410972">
    <w:abstractNumId w:val="194"/>
  </w:num>
  <w:num w:numId="11" w16cid:durableId="210462333">
    <w:abstractNumId w:val="140"/>
  </w:num>
  <w:num w:numId="12" w16cid:durableId="2095080098">
    <w:abstractNumId w:val="124"/>
  </w:num>
  <w:num w:numId="13" w16cid:durableId="1395931051">
    <w:abstractNumId w:val="88"/>
  </w:num>
  <w:num w:numId="14" w16cid:durableId="1108617728">
    <w:abstractNumId w:val="257"/>
  </w:num>
  <w:num w:numId="15" w16cid:durableId="951476451">
    <w:abstractNumId w:val="107"/>
  </w:num>
  <w:num w:numId="16" w16cid:durableId="1267739148">
    <w:abstractNumId w:val="164"/>
  </w:num>
  <w:num w:numId="17" w16cid:durableId="1181970123">
    <w:abstractNumId w:val="214"/>
  </w:num>
  <w:num w:numId="18" w16cid:durableId="451361762">
    <w:abstractNumId w:val="204"/>
  </w:num>
  <w:num w:numId="19" w16cid:durableId="1719695523">
    <w:abstractNumId w:val="314"/>
  </w:num>
  <w:num w:numId="20" w16cid:durableId="1708723590">
    <w:abstractNumId w:val="342"/>
  </w:num>
  <w:num w:numId="21" w16cid:durableId="362706822">
    <w:abstractNumId w:val="20"/>
  </w:num>
  <w:num w:numId="22" w16cid:durableId="429470193">
    <w:abstractNumId w:val="406"/>
  </w:num>
  <w:num w:numId="23" w16cid:durableId="1301614841">
    <w:abstractNumId w:val="126"/>
  </w:num>
  <w:num w:numId="24" w16cid:durableId="555823789">
    <w:abstractNumId w:val="243"/>
  </w:num>
  <w:num w:numId="25" w16cid:durableId="1808740245">
    <w:abstractNumId w:val="323"/>
  </w:num>
  <w:num w:numId="26" w16cid:durableId="905334348">
    <w:abstractNumId w:val="247"/>
  </w:num>
  <w:num w:numId="27" w16cid:durableId="1762139636">
    <w:abstractNumId w:val="402"/>
  </w:num>
  <w:num w:numId="28" w16cid:durableId="623661194">
    <w:abstractNumId w:val="290"/>
  </w:num>
  <w:num w:numId="29" w16cid:durableId="1080519049">
    <w:abstractNumId w:val="377"/>
  </w:num>
  <w:num w:numId="30" w16cid:durableId="1764302913">
    <w:abstractNumId w:val="0"/>
  </w:num>
  <w:num w:numId="31" w16cid:durableId="265162533">
    <w:abstractNumId w:val="141"/>
  </w:num>
  <w:num w:numId="32" w16cid:durableId="1980257717">
    <w:abstractNumId w:val="1"/>
  </w:num>
  <w:num w:numId="33" w16cid:durableId="176776402">
    <w:abstractNumId w:val="392"/>
  </w:num>
  <w:num w:numId="34" w16cid:durableId="1466654264">
    <w:abstractNumId w:val="69"/>
  </w:num>
  <w:num w:numId="35" w16cid:durableId="1989239436">
    <w:abstractNumId w:val="220"/>
  </w:num>
  <w:num w:numId="36" w16cid:durableId="848104552">
    <w:abstractNumId w:val="150"/>
  </w:num>
  <w:num w:numId="37" w16cid:durableId="1857960856">
    <w:abstractNumId w:val="58"/>
  </w:num>
  <w:num w:numId="38" w16cid:durableId="435444936">
    <w:abstractNumId w:val="401"/>
  </w:num>
  <w:num w:numId="39" w16cid:durableId="1903324043">
    <w:abstractNumId w:val="86"/>
  </w:num>
  <w:num w:numId="40" w16cid:durableId="246352112">
    <w:abstractNumId w:val="50"/>
  </w:num>
  <w:num w:numId="41" w16cid:durableId="1024359036">
    <w:abstractNumId w:val="139"/>
  </w:num>
  <w:num w:numId="42" w16cid:durableId="1298218601">
    <w:abstractNumId w:val="205"/>
  </w:num>
  <w:num w:numId="43" w16cid:durableId="234169730">
    <w:abstractNumId w:val="38"/>
  </w:num>
  <w:num w:numId="44" w16cid:durableId="693383009">
    <w:abstractNumId w:val="111"/>
  </w:num>
  <w:num w:numId="45" w16cid:durableId="1686591168">
    <w:abstractNumId w:val="274"/>
  </w:num>
  <w:num w:numId="46" w16cid:durableId="1924727275">
    <w:abstractNumId w:val="262"/>
  </w:num>
  <w:num w:numId="47" w16cid:durableId="218908341">
    <w:abstractNumId w:val="252"/>
  </w:num>
  <w:num w:numId="48" w16cid:durableId="1416515728">
    <w:abstractNumId w:val="276"/>
  </w:num>
  <w:num w:numId="49" w16cid:durableId="1126894720">
    <w:abstractNumId w:val="389"/>
  </w:num>
  <w:num w:numId="50" w16cid:durableId="121045156">
    <w:abstractNumId w:val="232"/>
  </w:num>
  <w:num w:numId="51" w16cid:durableId="1561289923">
    <w:abstractNumId w:val="221"/>
  </w:num>
  <w:num w:numId="52" w16cid:durableId="1769306741">
    <w:abstractNumId w:val="303"/>
  </w:num>
  <w:num w:numId="53" w16cid:durableId="76485141">
    <w:abstractNumId w:val="82"/>
  </w:num>
  <w:num w:numId="54" w16cid:durableId="769201495">
    <w:abstractNumId w:val="263"/>
  </w:num>
  <w:num w:numId="55" w16cid:durableId="1315833412">
    <w:abstractNumId w:val="261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8"/>
  </w:num>
  <w:num w:numId="59" w16cid:durableId="706102380">
    <w:abstractNumId w:val="374"/>
  </w:num>
  <w:num w:numId="60" w16cid:durableId="762652933">
    <w:abstractNumId w:val="90"/>
  </w:num>
  <w:num w:numId="61" w16cid:durableId="1980070124">
    <w:abstractNumId w:val="351"/>
  </w:num>
  <w:num w:numId="62" w16cid:durableId="1751384401">
    <w:abstractNumId w:val="309"/>
  </w:num>
  <w:num w:numId="63" w16cid:durableId="888758772">
    <w:abstractNumId w:val="115"/>
  </w:num>
  <w:num w:numId="64" w16cid:durableId="1428504556">
    <w:abstractNumId w:val="27"/>
  </w:num>
  <w:num w:numId="65" w16cid:durableId="1368019865">
    <w:abstractNumId w:val="407"/>
  </w:num>
  <w:num w:numId="66" w16cid:durableId="1997103089">
    <w:abstractNumId w:val="343"/>
  </w:num>
  <w:num w:numId="67" w16cid:durableId="999576817">
    <w:abstractNumId w:val="393"/>
  </w:num>
  <w:num w:numId="68" w16cid:durableId="1120220483">
    <w:abstractNumId w:val="396"/>
  </w:num>
  <w:num w:numId="69" w16cid:durableId="1251962254">
    <w:abstractNumId w:val="19"/>
  </w:num>
  <w:num w:numId="70" w16cid:durableId="1279601433">
    <w:abstractNumId w:val="207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67"/>
  </w:num>
  <w:num w:numId="76" w16cid:durableId="722605870">
    <w:abstractNumId w:val="175"/>
  </w:num>
  <w:num w:numId="77" w16cid:durableId="129324489">
    <w:abstractNumId w:val="338"/>
  </w:num>
  <w:num w:numId="78" w16cid:durableId="983044799">
    <w:abstractNumId w:val="260"/>
  </w:num>
  <w:num w:numId="79" w16cid:durableId="1135030876">
    <w:abstractNumId w:val="24"/>
  </w:num>
  <w:num w:numId="80" w16cid:durableId="193005106">
    <w:abstractNumId w:val="188"/>
  </w:num>
  <w:num w:numId="81" w16cid:durableId="1651210118">
    <w:abstractNumId w:val="340"/>
  </w:num>
  <w:num w:numId="82" w16cid:durableId="1644046001">
    <w:abstractNumId w:val="149"/>
  </w:num>
  <w:num w:numId="83" w16cid:durableId="1825584539">
    <w:abstractNumId w:val="8"/>
  </w:num>
  <w:num w:numId="84" w16cid:durableId="1457600251">
    <w:abstractNumId w:val="235"/>
  </w:num>
  <w:num w:numId="85" w16cid:durableId="796483808">
    <w:abstractNumId w:val="245"/>
  </w:num>
  <w:num w:numId="86" w16cid:durableId="677079084">
    <w:abstractNumId w:val="168"/>
  </w:num>
  <w:num w:numId="87" w16cid:durableId="1717895316">
    <w:abstractNumId w:val="183"/>
  </w:num>
  <w:num w:numId="88" w16cid:durableId="1381586366">
    <w:abstractNumId w:val="292"/>
  </w:num>
  <w:num w:numId="89" w16cid:durableId="726415045">
    <w:abstractNumId w:val="92"/>
  </w:num>
  <w:num w:numId="90" w16cid:durableId="134374695">
    <w:abstractNumId w:val="293"/>
  </w:num>
  <w:num w:numId="91" w16cid:durableId="1333605177">
    <w:abstractNumId w:val="320"/>
  </w:num>
  <w:num w:numId="92" w16cid:durableId="707990345">
    <w:abstractNumId w:val="170"/>
  </w:num>
  <w:num w:numId="93" w16cid:durableId="1424061098">
    <w:abstractNumId w:val="52"/>
  </w:num>
  <w:num w:numId="94" w16cid:durableId="1238593463">
    <w:abstractNumId w:val="202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5"/>
  </w:num>
  <w:num w:numId="98" w16cid:durableId="141898825">
    <w:abstractNumId w:val="132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1"/>
  </w:num>
  <w:num w:numId="102" w16cid:durableId="1758553305">
    <w:abstractNumId w:val="162"/>
  </w:num>
  <w:num w:numId="103" w16cid:durableId="1085539426">
    <w:abstractNumId w:val="131"/>
  </w:num>
  <w:num w:numId="104" w16cid:durableId="1402362524">
    <w:abstractNumId w:val="332"/>
  </w:num>
  <w:num w:numId="105" w16cid:durableId="83691757">
    <w:abstractNumId w:val="301"/>
  </w:num>
  <w:num w:numId="106" w16cid:durableId="1198078696">
    <w:abstractNumId w:val="87"/>
  </w:num>
  <w:num w:numId="107" w16cid:durableId="1240169118">
    <w:abstractNumId w:val="63"/>
  </w:num>
  <w:num w:numId="108" w16cid:durableId="187839146">
    <w:abstractNumId w:val="163"/>
  </w:num>
  <w:num w:numId="109" w16cid:durableId="139004657">
    <w:abstractNumId w:val="324"/>
  </w:num>
  <w:num w:numId="110" w16cid:durableId="835002621">
    <w:abstractNumId w:val="354"/>
  </w:num>
  <w:num w:numId="111" w16cid:durableId="146362569">
    <w:abstractNumId w:val="177"/>
  </w:num>
  <w:num w:numId="112" w16cid:durableId="1851218359">
    <w:abstractNumId w:val="344"/>
  </w:num>
  <w:num w:numId="113" w16cid:durableId="1189637771">
    <w:abstractNumId w:val="9"/>
  </w:num>
  <w:num w:numId="114" w16cid:durableId="1268536209">
    <w:abstractNumId w:val="130"/>
  </w:num>
  <w:num w:numId="115" w16cid:durableId="603001856">
    <w:abstractNumId w:val="148"/>
  </w:num>
  <w:num w:numId="116" w16cid:durableId="41905772">
    <w:abstractNumId w:val="28"/>
  </w:num>
  <w:num w:numId="117" w16cid:durableId="935871616">
    <w:abstractNumId w:val="79"/>
  </w:num>
  <w:num w:numId="118" w16cid:durableId="1768841013">
    <w:abstractNumId w:val="146"/>
  </w:num>
  <w:num w:numId="119" w16cid:durableId="900410431">
    <w:abstractNumId w:val="176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12"/>
  </w:num>
  <w:num w:numId="123" w16cid:durableId="1956865228">
    <w:abstractNumId w:val="5"/>
  </w:num>
  <w:num w:numId="124" w16cid:durableId="1276867340">
    <w:abstractNumId w:val="182"/>
  </w:num>
  <w:num w:numId="125" w16cid:durableId="1608587397">
    <w:abstractNumId w:val="298"/>
  </w:num>
  <w:num w:numId="126" w16cid:durableId="2131439396">
    <w:abstractNumId w:val="304"/>
  </w:num>
  <w:num w:numId="127" w16cid:durableId="1244336791">
    <w:abstractNumId w:val="101"/>
  </w:num>
  <w:num w:numId="128" w16cid:durableId="818154906">
    <w:abstractNumId w:val="306"/>
  </w:num>
  <w:num w:numId="129" w16cid:durableId="1882933843">
    <w:abstractNumId w:val="369"/>
  </w:num>
  <w:num w:numId="130" w16cid:durableId="1056199195">
    <w:abstractNumId w:val="105"/>
  </w:num>
  <w:num w:numId="131" w16cid:durableId="553470426">
    <w:abstractNumId w:val="142"/>
  </w:num>
  <w:num w:numId="132" w16cid:durableId="739669324">
    <w:abstractNumId w:val="329"/>
  </w:num>
  <w:num w:numId="133" w16cid:durableId="1342589866">
    <w:abstractNumId w:val="224"/>
  </w:num>
  <w:num w:numId="134" w16cid:durableId="805589429">
    <w:abstractNumId w:val="355"/>
  </w:num>
  <w:num w:numId="135" w16cid:durableId="1751851846">
    <w:abstractNumId w:val="165"/>
  </w:num>
  <w:num w:numId="136" w16cid:durableId="1035348142">
    <w:abstractNumId w:val="310"/>
  </w:num>
  <w:num w:numId="137" w16cid:durableId="342322650">
    <w:abstractNumId w:val="237"/>
  </w:num>
  <w:num w:numId="138" w16cid:durableId="2021813476">
    <w:abstractNumId w:val="113"/>
  </w:num>
  <w:num w:numId="139" w16cid:durableId="1260796502">
    <w:abstractNumId w:val="240"/>
  </w:num>
  <w:num w:numId="140" w16cid:durableId="211890294">
    <w:abstractNumId w:val="226"/>
  </w:num>
  <w:num w:numId="141" w16cid:durableId="1770925473">
    <w:abstractNumId w:val="289"/>
  </w:num>
  <w:num w:numId="142" w16cid:durableId="192891600">
    <w:abstractNumId w:val="55"/>
  </w:num>
  <w:num w:numId="143" w16cid:durableId="675690864">
    <w:abstractNumId w:val="256"/>
  </w:num>
  <w:num w:numId="144" w16cid:durableId="1495105408">
    <w:abstractNumId w:val="174"/>
  </w:num>
  <w:num w:numId="145" w16cid:durableId="170608313">
    <w:abstractNumId w:val="17"/>
  </w:num>
  <w:num w:numId="146" w16cid:durableId="388725436">
    <w:abstractNumId w:val="336"/>
  </w:num>
  <w:num w:numId="147" w16cid:durableId="1916433450">
    <w:abstractNumId w:val="265"/>
  </w:num>
  <w:num w:numId="148" w16cid:durableId="3675684">
    <w:abstractNumId w:val="218"/>
  </w:num>
  <w:num w:numId="149" w16cid:durableId="1134447677">
    <w:abstractNumId w:val="249"/>
  </w:num>
  <w:num w:numId="150" w16cid:durableId="269163122">
    <w:abstractNumId w:val="229"/>
  </w:num>
  <w:num w:numId="151" w16cid:durableId="596711321">
    <w:abstractNumId w:val="264"/>
  </w:num>
  <w:num w:numId="152" w16cid:durableId="574584926">
    <w:abstractNumId w:val="47"/>
  </w:num>
  <w:num w:numId="153" w16cid:durableId="2109736526">
    <w:abstractNumId w:val="384"/>
  </w:num>
  <w:num w:numId="154" w16cid:durableId="1291741062">
    <w:abstractNumId w:val="413"/>
  </w:num>
  <w:num w:numId="155" w16cid:durableId="1206135565">
    <w:abstractNumId w:val="286"/>
  </w:num>
  <w:num w:numId="156" w16cid:durableId="154761118">
    <w:abstractNumId w:val="223"/>
  </w:num>
  <w:num w:numId="157" w16cid:durableId="6100150">
    <w:abstractNumId w:val="135"/>
  </w:num>
  <w:num w:numId="158" w16cid:durableId="1250579651">
    <w:abstractNumId w:val="152"/>
  </w:num>
  <w:num w:numId="159" w16cid:durableId="356202047">
    <w:abstractNumId w:val="68"/>
  </w:num>
  <w:num w:numId="160" w16cid:durableId="884827526">
    <w:abstractNumId w:val="284"/>
  </w:num>
  <w:num w:numId="161" w16cid:durableId="34549794">
    <w:abstractNumId w:val="99"/>
  </w:num>
  <w:num w:numId="162" w16cid:durableId="1224100997">
    <w:abstractNumId w:val="199"/>
  </w:num>
  <w:num w:numId="163" w16cid:durableId="940256393">
    <w:abstractNumId w:val="307"/>
  </w:num>
  <w:num w:numId="164" w16cid:durableId="1318457270">
    <w:abstractNumId w:val="275"/>
  </w:num>
  <w:num w:numId="165" w16cid:durableId="1415737338">
    <w:abstractNumId w:val="215"/>
  </w:num>
  <w:num w:numId="166" w16cid:durableId="1779907670">
    <w:abstractNumId w:val="84"/>
  </w:num>
  <w:num w:numId="167" w16cid:durableId="1723602264">
    <w:abstractNumId w:val="341"/>
  </w:num>
  <w:num w:numId="168" w16cid:durableId="1451587149">
    <w:abstractNumId w:val="66"/>
  </w:num>
  <w:num w:numId="169" w16cid:durableId="723872476">
    <w:abstractNumId w:val="248"/>
  </w:num>
  <w:num w:numId="170" w16cid:durableId="372077083">
    <w:abstractNumId w:val="266"/>
  </w:num>
  <w:num w:numId="171" w16cid:durableId="62607842">
    <w:abstractNumId w:val="250"/>
  </w:num>
  <w:num w:numId="172" w16cid:durableId="915626482">
    <w:abstractNumId w:val="34"/>
  </w:num>
  <w:num w:numId="173" w16cid:durableId="748817343">
    <w:abstractNumId w:val="330"/>
  </w:num>
  <w:num w:numId="174" w16cid:durableId="1704015754">
    <w:abstractNumId w:val="145"/>
  </w:num>
  <w:num w:numId="175" w16cid:durableId="306017192">
    <w:abstractNumId w:val="312"/>
  </w:num>
  <w:num w:numId="176" w16cid:durableId="1743480285">
    <w:abstractNumId w:val="160"/>
  </w:num>
  <w:num w:numId="177" w16cid:durableId="23749168">
    <w:abstractNumId w:val="120"/>
  </w:num>
  <w:num w:numId="178" w16cid:durableId="290787077">
    <w:abstractNumId w:val="89"/>
  </w:num>
  <w:num w:numId="179" w16cid:durableId="1535927162">
    <w:abstractNumId w:val="347"/>
  </w:num>
  <w:num w:numId="180" w16cid:durableId="97799128">
    <w:abstractNumId w:val="29"/>
  </w:num>
  <w:num w:numId="181" w16cid:durableId="1856536255">
    <w:abstractNumId w:val="370"/>
  </w:num>
  <w:num w:numId="182" w16cid:durableId="960189160">
    <w:abstractNumId w:val="189"/>
  </w:num>
  <w:num w:numId="183" w16cid:durableId="668875674">
    <w:abstractNumId w:val="321"/>
  </w:num>
  <w:num w:numId="184" w16cid:durableId="84963566">
    <w:abstractNumId w:val="238"/>
  </w:num>
  <w:num w:numId="185" w16cid:durableId="1205600870">
    <w:abstractNumId w:val="83"/>
  </w:num>
  <w:num w:numId="186" w16cid:durableId="482477150">
    <w:abstractNumId w:val="112"/>
  </w:num>
  <w:num w:numId="187" w16cid:durableId="665747339">
    <w:abstractNumId w:val="133"/>
  </w:num>
  <w:num w:numId="188" w16cid:durableId="138616212">
    <w:abstractNumId w:val="253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10"/>
  </w:num>
  <w:num w:numId="192" w16cid:durableId="1511488362">
    <w:abstractNumId w:val="378"/>
  </w:num>
  <w:num w:numId="193" w16cid:durableId="1949002638">
    <w:abstractNumId w:val="147"/>
  </w:num>
  <w:num w:numId="194" w16cid:durableId="1176309270">
    <w:abstractNumId w:val="137"/>
  </w:num>
  <w:num w:numId="195" w16cid:durableId="1654868807">
    <w:abstractNumId w:val="187"/>
  </w:num>
  <w:num w:numId="196" w16cid:durableId="12652055">
    <w:abstractNumId w:val="104"/>
  </w:num>
  <w:num w:numId="197" w16cid:durableId="1018969729">
    <w:abstractNumId w:val="154"/>
  </w:num>
  <w:num w:numId="198" w16cid:durableId="1008409243">
    <w:abstractNumId w:val="118"/>
  </w:num>
  <w:num w:numId="199" w16cid:durableId="1955483436">
    <w:abstractNumId w:val="282"/>
  </w:num>
  <w:num w:numId="200" w16cid:durableId="660087209">
    <w:abstractNumId w:val="6"/>
  </w:num>
  <w:num w:numId="201" w16cid:durableId="1928878874">
    <w:abstractNumId w:val="271"/>
  </w:num>
  <w:num w:numId="202" w16cid:durableId="2122139272">
    <w:abstractNumId w:val="197"/>
  </w:num>
  <w:num w:numId="203" w16cid:durableId="133452672">
    <w:abstractNumId w:val="97"/>
  </w:num>
  <w:num w:numId="204" w16cid:durableId="1931768354">
    <w:abstractNumId w:val="255"/>
  </w:num>
  <w:num w:numId="205" w16cid:durableId="1867214870">
    <w:abstractNumId w:val="191"/>
  </w:num>
  <w:num w:numId="206" w16cid:durableId="1484468710">
    <w:abstractNumId w:val="16"/>
  </w:num>
  <w:num w:numId="207" w16cid:durableId="761727099">
    <w:abstractNumId w:val="156"/>
  </w:num>
  <w:num w:numId="208" w16cid:durableId="1531188493">
    <w:abstractNumId w:val="382"/>
  </w:num>
  <w:num w:numId="209" w16cid:durableId="415324069">
    <w:abstractNumId w:val="233"/>
  </w:num>
  <w:num w:numId="210" w16cid:durableId="756711135">
    <w:abstractNumId w:val="400"/>
  </w:num>
  <w:num w:numId="211" w16cid:durableId="241186038">
    <w:abstractNumId w:val="300"/>
  </w:num>
  <w:num w:numId="212" w16cid:durableId="1516535573">
    <w:abstractNumId w:val="373"/>
  </w:num>
  <w:num w:numId="213" w16cid:durableId="1731033911">
    <w:abstractNumId w:val="33"/>
  </w:num>
  <w:num w:numId="214" w16cid:durableId="2114082260">
    <w:abstractNumId w:val="173"/>
  </w:num>
  <w:num w:numId="215" w16cid:durableId="1403944878">
    <w:abstractNumId w:val="313"/>
  </w:num>
  <w:num w:numId="216" w16cid:durableId="1146780351">
    <w:abstractNumId w:val="70"/>
  </w:num>
  <w:num w:numId="217" w16cid:durableId="857474470">
    <w:abstractNumId w:val="153"/>
  </w:num>
  <w:num w:numId="218" w16cid:durableId="1167982874">
    <w:abstractNumId w:val="294"/>
  </w:num>
  <w:num w:numId="219" w16cid:durableId="1772357259">
    <w:abstractNumId w:val="337"/>
  </w:num>
  <w:num w:numId="220" w16cid:durableId="1115366939">
    <w:abstractNumId w:val="157"/>
  </w:num>
  <w:num w:numId="221" w16cid:durableId="588271522">
    <w:abstractNumId w:val="362"/>
  </w:num>
  <w:num w:numId="222" w16cid:durableId="210961162">
    <w:abstractNumId w:val="277"/>
  </w:num>
  <w:num w:numId="223" w16cid:durableId="1534810418">
    <w:abstractNumId w:val="281"/>
  </w:num>
  <w:num w:numId="224" w16cid:durableId="1676683974">
    <w:abstractNumId w:val="61"/>
  </w:num>
  <w:num w:numId="225" w16cid:durableId="15084179">
    <w:abstractNumId w:val="136"/>
  </w:num>
  <w:num w:numId="226" w16cid:durableId="692729971">
    <w:abstractNumId w:val="319"/>
  </w:num>
  <w:num w:numId="227" w16cid:durableId="1145971805">
    <w:abstractNumId w:val="198"/>
  </w:num>
  <w:num w:numId="228" w16cid:durableId="1458917373">
    <w:abstractNumId w:val="268"/>
  </w:num>
  <w:num w:numId="229" w16cid:durableId="1871258419">
    <w:abstractNumId w:val="123"/>
  </w:num>
  <w:num w:numId="230" w16cid:durableId="1425884159">
    <w:abstractNumId w:val="234"/>
  </w:num>
  <w:num w:numId="231" w16cid:durableId="705764093">
    <w:abstractNumId w:val="45"/>
  </w:num>
  <w:num w:numId="232" w16cid:durableId="1543324556">
    <w:abstractNumId w:val="122"/>
  </w:num>
  <w:num w:numId="233" w16cid:durableId="423499178">
    <w:abstractNumId w:val="44"/>
  </w:num>
  <w:num w:numId="234" w16cid:durableId="1100029897">
    <w:abstractNumId w:val="222"/>
  </w:num>
  <w:num w:numId="235" w16cid:durableId="164633208">
    <w:abstractNumId w:val="106"/>
  </w:num>
  <w:num w:numId="236" w16cid:durableId="1285426808">
    <w:abstractNumId w:val="73"/>
  </w:num>
  <w:num w:numId="237" w16cid:durableId="519121461">
    <w:abstractNumId w:val="217"/>
  </w:num>
  <w:num w:numId="238" w16cid:durableId="667639255">
    <w:abstractNumId w:val="359"/>
  </w:num>
  <w:num w:numId="239" w16cid:durableId="1740596693">
    <w:abstractNumId w:val="360"/>
  </w:num>
  <w:num w:numId="240" w16cid:durableId="195048420">
    <w:abstractNumId w:val="322"/>
  </w:num>
  <w:num w:numId="241" w16cid:durableId="2042044911">
    <w:abstractNumId w:val="13"/>
  </w:num>
  <w:num w:numId="242" w16cid:durableId="91628704">
    <w:abstractNumId w:val="167"/>
  </w:num>
  <w:num w:numId="243" w16cid:durableId="840465227">
    <w:abstractNumId w:val="219"/>
  </w:num>
  <w:num w:numId="244" w16cid:durableId="2126345823">
    <w:abstractNumId w:val="311"/>
  </w:num>
  <w:num w:numId="245" w16cid:durableId="583298736">
    <w:abstractNumId w:val="103"/>
  </w:num>
  <w:num w:numId="246" w16cid:durableId="887452996">
    <w:abstractNumId w:val="56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5"/>
  </w:num>
  <w:num w:numId="250" w16cid:durableId="1898079057">
    <w:abstractNumId w:val="15"/>
  </w:num>
  <w:num w:numId="251" w16cid:durableId="1874608687">
    <w:abstractNumId w:val="251"/>
  </w:num>
  <w:num w:numId="252" w16cid:durableId="1224482685">
    <w:abstractNumId w:val="179"/>
  </w:num>
  <w:num w:numId="253" w16cid:durableId="173344215">
    <w:abstractNumId w:val="208"/>
  </w:num>
  <w:num w:numId="254" w16cid:durableId="1210648581">
    <w:abstractNumId w:val="242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16"/>
  </w:num>
  <w:num w:numId="259" w16cid:durableId="1834250720">
    <w:abstractNumId w:val="192"/>
  </w:num>
  <w:num w:numId="260" w16cid:durableId="1167673940">
    <w:abstractNumId w:val="405"/>
  </w:num>
  <w:num w:numId="261" w16cid:durableId="787511685">
    <w:abstractNumId w:val="35"/>
  </w:num>
  <w:num w:numId="262" w16cid:durableId="2100903789">
    <w:abstractNumId w:val="231"/>
  </w:num>
  <w:num w:numId="263" w16cid:durableId="494076546">
    <w:abstractNumId w:val="371"/>
  </w:num>
  <w:num w:numId="264" w16cid:durableId="931476251">
    <w:abstractNumId w:val="376"/>
  </w:num>
  <w:num w:numId="265" w16cid:durableId="615872571">
    <w:abstractNumId w:val="302"/>
  </w:num>
  <w:num w:numId="266" w16cid:durableId="1930692373">
    <w:abstractNumId w:val="180"/>
  </w:num>
  <w:num w:numId="267" w16cid:durableId="1916237557">
    <w:abstractNumId w:val="283"/>
  </w:num>
  <w:num w:numId="268" w16cid:durableId="1025013821">
    <w:abstractNumId w:val="138"/>
  </w:num>
  <w:num w:numId="269" w16cid:durableId="447358454">
    <w:abstractNumId w:val="269"/>
  </w:num>
  <w:num w:numId="270" w16cid:durableId="1276643913">
    <w:abstractNumId w:val="398"/>
  </w:num>
  <w:num w:numId="271" w16cid:durableId="803936542">
    <w:abstractNumId w:val="209"/>
  </w:num>
  <w:num w:numId="272" w16cid:durableId="1780947287">
    <w:abstractNumId w:val="280"/>
  </w:num>
  <w:num w:numId="273" w16cid:durableId="516383457">
    <w:abstractNumId w:val="49"/>
  </w:num>
  <w:num w:numId="274" w16cid:durableId="139427067">
    <w:abstractNumId w:val="259"/>
  </w:num>
  <w:num w:numId="275" w16cid:durableId="1955164433">
    <w:abstractNumId w:val="361"/>
  </w:num>
  <w:num w:numId="276" w16cid:durableId="325088037">
    <w:abstractNumId w:val="395"/>
  </w:num>
  <w:num w:numId="277" w16cid:durableId="859246593">
    <w:abstractNumId w:val="116"/>
  </w:num>
  <w:num w:numId="278" w16cid:durableId="47657621">
    <w:abstractNumId w:val="85"/>
  </w:num>
  <w:num w:numId="279" w16cid:durableId="458845075">
    <w:abstractNumId w:val="155"/>
  </w:num>
  <w:num w:numId="280" w16cid:durableId="2125269011">
    <w:abstractNumId w:val="227"/>
  </w:num>
  <w:num w:numId="281" w16cid:durableId="1334141851">
    <w:abstractNumId w:val="23"/>
  </w:num>
  <w:num w:numId="282" w16cid:durableId="970129519">
    <w:abstractNumId w:val="295"/>
  </w:num>
  <w:num w:numId="283" w16cid:durableId="1456872434">
    <w:abstractNumId w:val="317"/>
  </w:num>
  <w:num w:numId="284" w16cid:durableId="39015338">
    <w:abstractNumId w:val="333"/>
  </w:num>
  <w:num w:numId="285" w16cid:durableId="1819419518">
    <w:abstractNumId w:val="299"/>
  </w:num>
  <w:num w:numId="286" w16cid:durableId="1743596631">
    <w:abstractNumId w:val="273"/>
  </w:num>
  <w:num w:numId="287" w16cid:durableId="1220049475">
    <w:abstractNumId w:val="200"/>
  </w:num>
  <w:num w:numId="288" w16cid:durableId="1030112256">
    <w:abstractNumId w:val="110"/>
  </w:num>
  <w:num w:numId="289" w16cid:durableId="735326783">
    <w:abstractNumId w:val="386"/>
  </w:num>
  <w:num w:numId="290" w16cid:durableId="1571843329">
    <w:abstractNumId w:val="403"/>
  </w:num>
  <w:num w:numId="291" w16cid:durableId="2034262252">
    <w:abstractNumId w:val="60"/>
  </w:num>
  <w:num w:numId="292" w16cid:durableId="1106119284">
    <w:abstractNumId w:val="158"/>
  </w:num>
  <w:num w:numId="293" w16cid:durableId="447705403">
    <w:abstractNumId w:val="134"/>
  </w:num>
  <w:num w:numId="294" w16cid:durableId="1260721534">
    <w:abstractNumId w:val="367"/>
  </w:num>
  <w:num w:numId="295" w16cid:durableId="309209356">
    <w:abstractNumId w:val="127"/>
  </w:num>
  <w:num w:numId="296" w16cid:durableId="1717313855">
    <w:abstractNumId w:val="388"/>
  </w:num>
  <w:num w:numId="297" w16cid:durableId="705062028">
    <w:abstractNumId w:val="109"/>
  </w:num>
  <w:num w:numId="298" w16cid:durableId="34081145">
    <w:abstractNumId w:val="334"/>
  </w:num>
  <w:num w:numId="299" w16cid:durableId="1366833790">
    <w:abstractNumId w:val="18"/>
  </w:num>
  <w:num w:numId="300" w16cid:durableId="474489661">
    <w:abstractNumId w:val="171"/>
  </w:num>
  <w:num w:numId="301" w16cid:durableId="614168037">
    <w:abstractNumId w:val="59"/>
  </w:num>
  <w:num w:numId="302" w16cid:durableId="1601336107">
    <w:abstractNumId w:val="81"/>
  </w:num>
  <w:num w:numId="303" w16cid:durableId="1342704759">
    <w:abstractNumId w:val="80"/>
  </w:num>
  <w:num w:numId="304" w16cid:durableId="190997124">
    <w:abstractNumId w:val="372"/>
  </w:num>
  <w:num w:numId="305" w16cid:durableId="1223829201">
    <w:abstractNumId w:val="193"/>
  </w:num>
  <w:num w:numId="306" w16cid:durableId="388264843">
    <w:abstractNumId w:val="272"/>
  </w:num>
  <w:num w:numId="307" w16cid:durableId="834147872">
    <w:abstractNumId w:val="327"/>
  </w:num>
  <w:num w:numId="308" w16cid:durableId="168952637">
    <w:abstractNumId w:val="30"/>
  </w:num>
  <w:num w:numId="309" w16cid:durableId="839006774">
    <w:abstractNumId w:val="364"/>
  </w:num>
  <w:num w:numId="310" w16cid:durableId="1250888801">
    <w:abstractNumId w:val="62"/>
  </w:num>
  <w:num w:numId="311" w16cid:durableId="1049845522">
    <w:abstractNumId w:val="11"/>
  </w:num>
  <w:num w:numId="312" w16cid:durableId="1889298154">
    <w:abstractNumId w:val="270"/>
  </w:num>
  <w:num w:numId="313" w16cid:durableId="316805502">
    <w:abstractNumId w:val="409"/>
  </w:num>
  <w:num w:numId="314" w16cid:durableId="1110776580">
    <w:abstractNumId w:val="100"/>
  </w:num>
  <w:num w:numId="315" w16cid:durableId="728648090">
    <w:abstractNumId w:val="308"/>
  </w:num>
  <w:num w:numId="316" w16cid:durableId="2068338290">
    <w:abstractNumId w:val="4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0"/>
  </w:num>
  <w:num w:numId="319" w16cid:durableId="610862411">
    <w:abstractNumId w:val="143"/>
  </w:num>
  <w:num w:numId="320" w16cid:durableId="1330714247">
    <w:abstractNumId w:val="328"/>
  </w:num>
  <w:num w:numId="321" w16cid:durableId="1089498123">
    <w:abstractNumId w:val="125"/>
  </w:num>
  <w:num w:numId="322" w16cid:durableId="1904872423">
    <w:abstractNumId w:val="297"/>
  </w:num>
  <w:num w:numId="323" w16cid:durableId="206458575">
    <w:abstractNumId w:val="93"/>
  </w:num>
  <w:num w:numId="324" w16cid:durableId="695666297">
    <w:abstractNumId w:val="216"/>
  </w:num>
  <w:num w:numId="325" w16cid:durableId="1025400470">
    <w:abstractNumId w:val="32"/>
  </w:num>
  <w:num w:numId="326" w16cid:durableId="1634023438">
    <w:abstractNumId w:val="387"/>
  </w:num>
  <w:num w:numId="327" w16cid:durableId="2042393370">
    <w:abstractNumId w:val="129"/>
  </w:num>
  <w:num w:numId="328" w16cid:durableId="1138034692">
    <w:abstractNumId w:val="94"/>
  </w:num>
  <w:num w:numId="329" w16cid:durableId="253634955">
    <w:abstractNumId w:val="128"/>
  </w:num>
  <w:num w:numId="330" w16cid:durableId="1720325459">
    <w:abstractNumId w:val="375"/>
  </w:num>
  <w:num w:numId="331" w16cid:durableId="1421099157">
    <w:abstractNumId w:val="181"/>
  </w:num>
  <w:num w:numId="332" w16cid:durableId="60107577">
    <w:abstractNumId w:val="326"/>
  </w:num>
  <w:num w:numId="333" w16cid:durableId="301884854">
    <w:abstractNumId w:val="14"/>
  </w:num>
  <w:num w:numId="334" w16cid:durableId="1831797348">
    <w:abstractNumId w:val="196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6"/>
  </w:num>
  <w:num w:numId="338" w16cid:durableId="531113292">
    <w:abstractNumId w:val="57"/>
  </w:num>
  <w:num w:numId="339" w16cid:durableId="1716657686">
    <w:abstractNumId w:val="349"/>
  </w:num>
  <w:num w:numId="340" w16cid:durableId="1357845951">
    <w:abstractNumId w:val="31"/>
  </w:num>
  <w:num w:numId="341" w16cid:durableId="105928767">
    <w:abstractNumId w:val="159"/>
  </w:num>
  <w:num w:numId="342" w16cid:durableId="1076322022">
    <w:abstractNumId w:val="195"/>
  </w:num>
  <w:num w:numId="343" w16cid:durableId="1470976012">
    <w:abstractNumId w:val="169"/>
  </w:num>
  <w:num w:numId="344" w16cid:durableId="502549873">
    <w:abstractNumId w:val="114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3"/>
  </w:num>
  <w:num w:numId="348" w16cid:durableId="2125070536">
    <w:abstractNumId w:val="48"/>
  </w:num>
  <w:num w:numId="349" w16cid:durableId="523908919">
    <w:abstractNumId w:val="151"/>
  </w:num>
  <w:num w:numId="350" w16cid:durableId="900166943">
    <w:abstractNumId w:val="380"/>
  </w:num>
  <w:num w:numId="351" w16cid:durableId="1090082312">
    <w:abstractNumId w:val="350"/>
  </w:num>
  <w:num w:numId="352" w16cid:durableId="2000839028">
    <w:abstractNumId w:val="201"/>
  </w:num>
  <w:num w:numId="353" w16cid:durableId="736174140">
    <w:abstractNumId w:val="363"/>
  </w:num>
  <w:num w:numId="354" w16cid:durableId="217983496">
    <w:abstractNumId w:val="353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9"/>
  </w:num>
  <w:num w:numId="358" w16cid:durableId="986082726">
    <w:abstractNumId w:val="3"/>
  </w:num>
  <w:num w:numId="359" w16cid:durableId="1283877562">
    <w:abstractNumId w:val="225"/>
  </w:num>
  <w:num w:numId="360" w16cid:durableId="1785147961">
    <w:abstractNumId w:val="185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9"/>
  </w:num>
  <w:num w:numId="364" w16cid:durableId="2039239121">
    <w:abstractNumId w:val="210"/>
  </w:num>
  <w:num w:numId="365" w16cid:durableId="605116325">
    <w:abstractNumId w:val="399"/>
  </w:num>
  <w:num w:numId="366" w16cid:durableId="1144813016">
    <w:abstractNumId w:val="121"/>
  </w:num>
  <w:num w:numId="367" w16cid:durableId="1164588397">
    <w:abstractNumId w:val="203"/>
  </w:num>
  <w:num w:numId="368" w16cid:durableId="508562654">
    <w:abstractNumId w:val="325"/>
  </w:num>
  <w:num w:numId="369" w16cid:durableId="43530767">
    <w:abstractNumId w:val="236"/>
  </w:num>
  <w:num w:numId="370" w16cid:durableId="310062089">
    <w:abstractNumId w:val="291"/>
  </w:num>
  <w:num w:numId="371" w16cid:durableId="1074007826">
    <w:abstractNumId w:val="72"/>
  </w:num>
  <w:num w:numId="372" w16cid:durableId="534463083">
    <w:abstractNumId w:val="296"/>
  </w:num>
  <w:num w:numId="373" w16cid:durableId="682897783">
    <w:abstractNumId w:val="411"/>
  </w:num>
  <w:num w:numId="374" w16cid:durableId="398678290">
    <w:abstractNumId w:val="335"/>
  </w:num>
  <w:num w:numId="375" w16cid:durableId="571043756">
    <w:abstractNumId w:val="21"/>
  </w:num>
  <w:num w:numId="376" w16cid:durableId="1686402124">
    <w:abstractNumId w:val="408"/>
  </w:num>
  <w:num w:numId="377" w16cid:durableId="8531259">
    <w:abstractNumId w:val="91"/>
  </w:num>
  <w:num w:numId="378" w16cid:durableId="774519165">
    <w:abstractNumId w:val="287"/>
  </w:num>
  <w:num w:numId="379" w16cid:durableId="70390439">
    <w:abstractNumId w:val="211"/>
  </w:num>
  <w:num w:numId="380" w16cid:durableId="1529219736">
    <w:abstractNumId w:val="397"/>
  </w:num>
  <w:num w:numId="381" w16cid:durableId="1150248272">
    <w:abstractNumId w:val="383"/>
  </w:num>
  <w:num w:numId="382" w16cid:durableId="1642613122">
    <w:abstractNumId w:val="345"/>
  </w:num>
  <w:num w:numId="383" w16cid:durableId="878203364">
    <w:abstractNumId w:val="212"/>
  </w:num>
  <w:num w:numId="384" w16cid:durableId="140387795">
    <w:abstractNumId w:val="285"/>
  </w:num>
  <w:num w:numId="385" w16cid:durableId="348681310">
    <w:abstractNumId w:val="186"/>
  </w:num>
  <w:num w:numId="386" w16cid:durableId="1706175194">
    <w:abstractNumId w:val="2"/>
  </w:num>
  <w:num w:numId="387" w16cid:durableId="1128625636">
    <w:abstractNumId w:val="390"/>
  </w:num>
  <w:num w:numId="388" w16cid:durableId="2124618150">
    <w:abstractNumId w:val="119"/>
  </w:num>
  <w:num w:numId="389" w16cid:durableId="1815027437">
    <w:abstractNumId w:val="385"/>
  </w:num>
  <w:num w:numId="390" w16cid:durableId="1417441728">
    <w:abstractNumId w:val="241"/>
  </w:num>
  <w:num w:numId="391" w16cid:durableId="735661572">
    <w:abstractNumId w:val="381"/>
  </w:num>
  <w:num w:numId="392" w16cid:durableId="366608919">
    <w:abstractNumId w:val="40"/>
  </w:num>
  <w:num w:numId="393" w16cid:durableId="298538384">
    <w:abstractNumId w:val="172"/>
  </w:num>
  <w:num w:numId="394" w16cid:durableId="1645550938">
    <w:abstractNumId w:val="206"/>
  </w:num>
  <w:num w:numId="395" w16cid:durableId="848253696">
    <w:abstractNumId w:val="166"/>
  </w:num>
  <w:num w:numId="396" w16cid:durableId="1071275096">
    <w:abstractNumId w:val="357"/>
  </w:num>
  <w:num w:numId="397" w16cid:durableId="842622032">
    <w:abstractNumId w:val="278"/>
  </w:num>
  <w:num w:numId="398" w16cid:durableId="1433866121">
    <w:abstractNumId w:val="144"/>
  </w:num>
  <w:num w:numId="399" w16cid:durableId="617032605">
    <w:abstractNumId w:val="102"/>
  </w:num>
  <w:num w:numId="400" w16cid:durableId="1665351952">
    <w:abstractNumId w:val="244"/>
  </w:num>
  <w:num w:numId="401" w16cid:durableId="199632844">
    <w:abstractNumId w:val="178"/>
  </w:num>
  <w:num w:numId="402" w16cid:durableId="404840288">
    <w:abstractNumId w:val="404"/>
  </w:num>
  <w:num w:numId="403" w16cid:durableId="92171267">
    <w:abstractNumId w:val="184"/>
  </w:num>
  <w:num w:numId="404" w16cid:durableId="568077380">
    <w:abstractNumId w:val="391"/>
  </w:num>
  <w:num w:numId="405" w16cid:durableId="835998021">
    <w:abstractNumId w:val="331"/>
  </w:num>
  <w:num w:numId="406" w16cid:durableId="411783052">
    <w:abstractNumId w:val="78"/>
  </w:num>
  <w:num w:numId="407" w16cid:durableId="998456872">
    <w:abstractNumId w:val="366"/>
  </w:num>
  <w:num w:numId="408" w16cid:durableId="1790319434">
    <w:abstractNumId w:val="279"/>
  </w:num>
  <w:num w:numId="409" w16cid:durableId="2073311944">
    <w:abstractNumId w:val="54"/>
  </w:num>
  <w:num w:numId="410" w16cid:durableId="898903839">
    <w:abstractNumId w:val="246"/>
  </w:num>
  <w:num w:numId="411" w16cid:durableId="30616029">
    <w:abstractNumId w:val="352"/>
  </w:num>
  <w:num w:numId="412" w16cid:durableId="1701080413">
    <w:abstractNumId w:val="239"/>
  </w:num>
  <w:num w:numId="413" w16cid:durableId="1128014425">
    <w:abstractNumId w:val="318"/>
  </w:num>
  <w:num w:numId="414" w16cid:durableId="838889020">
    <w:abstractNumId w:val="358"/>
  </w:num>
  <w:num w:numId="415" w16cid:durableId="1509097818">
    <w:abstractNumId w:val="254"/>
  </w:num>
  <w:num w:numId="416" w16cid:durableId="52433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3ED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A31A9"/>
    <w:rsid w:val="005B4561"/>
    <w:rsid w:val="005D04FB"/>
    <w:rsid w:val="005E0DC3"/>
    <w:rsid w:val="00600E05"/>
    <w:rsid w:val="00613FDE"/>
    <w:rsid w:val="00632C58"/>
    <w:rsid w:val="00632EDC"/>
    <w:rsid w:val="00635E27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nops.org/framework/capabilities/allocation/?utm_source=chatgpt.com" TargetMode="External"/><Relationship Id="rId18" Type="http://schemas.openxmlformats.org/officeDocument/2006/relationships/hyperlink" Target="https://www.finops.org/framework/capabilities/allocation/?utm_source=chatgpt.com" TargetMode="External"/><Relationship Id="rId26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39" Type="http://schemas.openxmlformats.org/officeDocument/2006/relationships/hyperlink" Target="https://www.finops.org/insights/2025-finops-framework/?utm_source=chatgpt.com" TargetMode="External"/><Relationship Id="rId21" Type="http://schemas.openxmlformats.org/officeDocument/2006/relationships/hyperlink" Target="https://www.gartner.com/en/information-technology/glossary/total-cost-of-ownership-tco?utm_source=chatgpt.com" TargetMode="External"/><Relationship Id="rId34" Type="http://schemas.openxmlformats.org/officeDocument/2006/relationships/hyperlink" Target="https://www.cigref.fr/wp/wp-content/uploads/2024/06/Cigref_TSB_Cloud-de-confiance-RFP-Fr_2024.pdf?utm_source=chatgpt.com" TargetMode="External"/><Relationship Id="rId42" Type="http://schemas.openxmlformats.org/officeDocument/2006/relationships/hyperlink" Target="https://www.finops.org/insights/2025-finops-framework/?utm_source=chatgpt.com" TargetMode="External"/><Relationship Id="rId47" Type="http://schemas.openxmlformats.org/officeDocument/2006/relationships/hyperlink" Target="https://www.finops.org/insights/2025-finops-framework/?utm_source=chatgpt.com" TargetMode="External"/><Relationship Id="rId50" Type="http://schemas.openxmlformats.org/officeDocument/2006/relationships/footer" Target="footer1.xml"/><Relationship Id="rId7" Type="http://schemas.openxmlformats.org/officeDocument/2006/relationships/hyperlink" Target="https://www.gartner.com/en/information-technology/glossary/total-cost-of-ownership-tco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gref.fr/wp/wp-content/uploads/2024/06/Cigref_TSB_Cloud-de-confiance-RFP-Fr_2024.pdf?utm_source=chatgpt.com" TargetMode="External"/><Relationship Id="rId29" Type="http://schemas.openxmlformats.org/officeDocument/2006/relationships/hyperlink" Target="https://cyber.gouv.fr/publications/guide-dhygiene-informatique?utm_source=chatgpt.com" TargetMode="External"/><Relationship Id="rId11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24" Type="http://schemas.openxmlformats.org/officeDocument/2006/relationships/hyperlink" Target="https://www.finops.org/insights/2025-finops-framework/?utm_source=chatgpt.com" TargetMode="External"/><Relationship Id="rId32" Type="http://schemas.openxmlformats.org/officeDocument/2006/relationships/hyperlink" Target="https://www.finops.org/insights/2025-finops-framework/?utm_source=chatgpt.com" TargetMode="External"/><Relationship Id="rId37" Type="http://schemas.openxmlformats.org/officeDocument/2006/relationships/hyperlink" Target="https://www.cigref.fr/wp/wp-content/uploads/2024/06/Cigref_TSB_Cloud-de-confiance-RFP-Fr_2024.pdf?utm_source=chatgpt.com" TargetMode="External"/><Relationship Id="rId40" Type="http://schemas.openxmlformats.org/officeDocument/2006/relationships/hyperlink" Target="https://www.finops.org/topic/scopes/?utm_source=chatgpt.com" TargetMode="External"/><Relationship Id="rId45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.gouv.fr/publications/guide-dhygiene-informatique?utm_source=chatgpt.com" TargetMode="External"/><Relationship Id="rId23" Type="http://schemas.openxmlformats.org/officeDocument/2006/relationships/hyperlink" Target="https://www.finops.org/framework/capabilities/allocation/?utm_source=chatgpt.com" TargetMode="External"/><Relationship Id="rId28" Type="http://schemas.openxmlformats.org/officeDocument/2006/relationships/hyperlink" Target="https://www.cigref.fr/wp/wp-content/uploads/2024/06/Cigref_TSB_Cloud-de-confiance-RFP-Fr_2024.pdf?utm_source=chatgpt.com" TargetMode="External"/><Relationship Id="rId36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49" Type="http://schemas.openxmlformats.org/officeDocument/2006/relationships/hyperlink" Target="https://cyber.gouv.fr/publications/guide-dhygiene-informatique?utm_source=chatgpt.com" TargetMode="External"/><Relationship Id="rId10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19" Type="http://schemas.openxmlformats.org/officeDocument/2006/relationships/hyperlink" Target="https://www.finops.org/insights/2025-finops-framework/?utm_source=chatgpt.com" TargetMode="External"/><Relationship Id="rId31" Type="http://schemas.openxmlformats.org/officeDocument/2006/relationships/hyperlink" Target="https://www.finops.org/topic/scopes/?utm_source=chatgpt.com" TargetMode="External"/><Relationship Id="rId44" Type="http://schemas.openxmlformats.org/officeDocument/2006/relationships/hyperlink" Target="https://www.cigref.fr/wp/wp-content/uploads/2024/06/Cigref_TSB_Cloud-de-confiance-RFP-Fr_2024.pdf?utm_source=chatgpt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14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22" Type="http://schemas.openxmlformats.org/officeDocument/2006/relationships/hyperlink" Target="https://cyber.gouv.fr/publications/guide-dhygiene-informatique?utm_source=chatgpt.com" TargetMode="External"/><Relationship Id="rId27" Type="http://schemas.openxmlformats.org/officeDocument/2006/relationships/hyperlink" Target="https://www.finops.org/framework/capabilities/allocation/?utm_source=chatgpt.com" TargetMode="External"/><Relationship Id="rId30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35" Type="http://schemas.openxmlformats.org/officeDocument/2006/relationships/hyperlink" Target="https://www.finops.org/insights/2025-finops-framework/?utm_source=chatgpt.com" TargetMode="External"/><Relationship Id="rId43" Type="http://schemas.openxmlformats.org/officeDocument/2006/relationships/hyperlink" Target="https://cyber.gouv.fr/publications/guide-dhygiene-informatique?utm_source=chatgpt.com" TargetMode="External"/><Relationship Id="rId48" Type="http://schemas.openxmlformats.org/officeDocument/2006/relationships/hyperlink" Target="https://www.gartner.com/en/information-technology/glossary/total-cost-of-ownership-tco?utm_source=chatgpt.com" TargetMode="External"/><Relationship Id="rId8" Type="http://schemas.openxmlformats.org/officeDocument/2006/relationships/hyperlink" Target="https://www.finops.org/insights/2025-finops-framework/?utm_source=chatgpt.co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finops.org/topic/scopes/?utm_source=chatgpt.com" TargetMode="External"/><Relationship Id="rId17" Type="http://schemas.openxmlformats.org/officeDocument/2006/relationships/hyperlink" Target="https://www.cigref.fr/wp/wp-content/uploads/2022/10/Modele_de_pilotage_economique_et_ecologique_IT-CIGREF_-Octobre_2022_2.pdf?utm_source=chatgpt.com" TargetMode="External"/><Relationship Id="rId25" Type="http://schemas.openxmlformats.org/officeDocument/2006/relationships/hyperlink" Target="https://cyber.gouv.fr/publications/guide-dhygiene-informatique?utm_source=chatgpt.com" TargetMode="External"/><Relationship Id="rId33" Type="http://schemas.openxmlformats.org/officeDocument/2006/relationships/hyperlink" Target="https://cyber.gouv.fr/publications/guide-dhygiene-informatique?utm_source=chatgpt.com" TargetMode="External"/><Relationship Id="rId38" Type="http://schemas.openxmlformats.org/officeDocument/2006/relationships/hyperlink" Target="https://www.gartner.com/en/information-technology/glossary/total-cost-of-ownership-tco?utm_source=chatgpt.com" TargetMode="External"/><Relationship Id="rId46" Type="http://schemas.openxmlformats.org/officeDocument/2006/relationships/hyperlink" Target="https://www.cigref.fr/wp/wp-content/uploads/2024/06/Cigref_TSB_Cloud-de-confiance-RFP-Fr_2024.pdf?utm_source=chatgpt.com" TargetMode="External"/><Relationship Id="rId20" Type="http://schemas.openxmlformats.org/officeDocument/2006/relationships/hyperlink" Target="https://www.cigref.fr/wp/wp-content/uploads/2024/06/Cigref_TSB_Cloud-de-confiance-RFP-Fr_2024.pdf?utm_source=chatgpt.com" TargetMode="External"/><Relationship Id="rId41" Type="http://schemas.openxmlformats.org/officeDocument/2006/relationships/hyperlink" Target="https://www.finops.org/framework/capabilities/allocation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2432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2025-10-31T09:28:00Z</dcterms:created>
  <dcterms:modified xsi:type="dcterms:W3CDTF">2025-10-31T09:31:00Z</dcterms:modified>
</cp:coreProperties>
</file>