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353D" w14:textId="4FEA781D" w:rsidR="004678E9" w:rsidRPr="004678E9" w:rsidRDefault="004678E9" w:rsidP="004678E9">
      <w:pPr>
        <w:jc w:val="both"/>
      </w:pPr>
      <w:r w:rsidRPr="004678E9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Fiche 3 – La comptabilité analytique d’exploitation (CAE)</w:t>
      </w:r>
    </w:p>
    <w:p w14:paraId="3B7CB4CE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1. Introduction</w:t>
      </w:r>
    </w:p>
    <w:p w14:paraId="3A31085F" w14:textId="77777777" w:rsidR="004678E9" w:rsidRPr="004678E9" w:rsidRDefault="004678E9" w:rsidP="004678E9">
      <w:pPr>
        <w:jc w:val="both"/>
      </w:pPr>
      <w:r w:rsidRPr="004678E9">
        <w:t xml:space="preserve">La </w:t>
      </w:r>
      <w:r w:rsidRPr="004678E9">
        <w:rPr>
          <w:b/>
          <w:bCs/>
        </w:rPr>
        <w:t>comptabilité analytique d’exploitation (CAE)</w:t>
      </w:r>
      <w:r w:rsidRPr="004678E9">
        <w:t xml:space="preserve"> est une branche de la comptabilité de gestion. Elle vise à </w:t>
      </w:r>
      <w:r w:rsidRPr="004678E9">
        <w:rPr>
          <w:b/>
          <w:bCs/>
        </w:rPr>
        <w:t>analyser les coûts et les résultats</w:t>
      </w:r>
      <w:r w:rsidRPr="004678E9">
        <w:t xml:space="preserve"> liés à l’activité de l’entreprise. Contrairement à la comptabilité générale, qui fournit une image globale et légale du patrimoine et du résultat, la CAE cherche à savoir </w:t>
      </w:r>
      <w:r w:rsidRPr="004678E9">
        <w:rPr>
          <w:b/>
          <w:bCs/>
        </w:rPr>
        <w:t>combien coûte réellement un produit, un service ou une activité</w:t>
      </w:r>
      <w:r w:rsidRPr="004678E9">
        <w:t xml:space="preserve"> et </w:t>
      </w:r>
      <w:r w:rsidRPr="004678E9">
        <w:rPr>
          <w:b/>
          <w:bCs/>
        </w:rPr>
        <w:t>quelle marge ils dégagent</w:t>
      </w:r>
      <w:r w:rsidRPr="004678E9">
        <w:t>.</w:t>
      </w:r>
    </w:p>
    <w:p w14:paraId="061AED92" w14:textId="77777777" w:rsidR="004678E9" w:rsidRPr="004678E9" w:rsidRDefault="004678E9" w:rsidP="004678E9">
      <w:pPr>
        <w:jc w:val="both"/>
      </w:pPr>
      <w:r w:rsidRPr="004678E9">
        <w:t>Les objectifs principaux sont :</w:t>
      </w:r>
    </w:p>
    <w:p w14:paraId="5218B156" w14:textId="77777777" w:rsidR="004678E9" w:rsidRPr="004678E9" w:rsidRDefault="004678E9" w:rsidP="004678E9">
      <w:pPr>
        <w:numPr>
          <w:ilvl w:val="0"/>
          <w:numId w:val="174"/>
        </w:numPr>
        <w:jc w:val="both"/>
      </w:pPr>
      <w:r w:rsidRPr="004678E9">
        <w:t xml:space="preserve">Calculer les </w:t>
      </w:r>
      <w:r w:rsidRPr="004678E9">
        <w:rPr>
          <w:b/>
          <w:bCs/>
        </w:rPr>
        <w:t>coûts de revient</w:t>
      </w:r>
      <w:r w:rsidRPr="004678E9">
        <w:t xml:space="preserve"> pour fixer des prix de vente adaptés.</w:t>
      </w:r>
    </w:p>
    <w:p w14:paraId="18580C08" w14:textId="77777777" w:rsidR="004678E9" w:rsidRPr="004678E9" w:rsidRDefault="004678E9" w:rsidP="004678E9">
      <w:pPr>
        <w:numPr>
          <w:ilvl w:val="0"/>
          <w:numId w:val="174"/>
        </w:numPr>
        <w:jc w:val="both"/>
      </w:pPr>
      <w:r w:rsidRPr="004678E9">
        <w:t xml:space="preserve">Comparer les </w:t>
      </w:r>
      <w:r w:rsidRPr="004678E9">
        <w:rPr>
          <w:b/>
          <w:bCs/>
        </w:rPr>
        <w:t>prévisions</w:t>
      </w:r>
      <w:r w:rsidRPr="004678E9">
        <w:t xml:space="preserve"> aux </w:t>
      </w:r>
      <w:r w:rsidRPr="004678E9">
        <w:rPr>
          <w:b/>
          <w:bCs/>
        </w:rPr>
        <w:t>réalisations</w:t>
      </w:r>
      <w:r w:rsidRPr="004678E9">
        <w:t xml:space="preserve"> pour identifier les écarts.</w:t>
      </w:r>
    </w:p>
    <w:p w14:paraId="04D255F1" w14:textId="77777777" w:rsidR="004678E9" w:rsidRPr="004678E9" w:rsidRDefault="004678E9" w:rsidP="004678E9">
      <w:pPr>
        <w:numPr>
          <w:ilvl w:val="0"/>
          <w:numId w:val="174"/>
        </w:numPr>
        <w:jc w:val="both"/>
      </w:pPr>
      <w:r w:rsidRPr="004678E9">
        <w:t xml:space="preserve">Évaluer la </w:t>
      </w:r>
      <w:r w:rsidRPr="004678E9">
        <w:rPr>
          <w:b/>
          <w:bCs/>
        </w:rPr>
        <w:t>rentabilité</w:t>
      </w:r>
      <w:r w:rsidRPr="004678E9">
        <w:t xml:space="preserve"> par produit, activité, service ou client.</w:t>
      </w:r>
    </w:p>
    <w:p w14:paraId="1437B986" w14:textId="77777777" w:rsidR="004678E9" w:rsidRPr="004678E9" w:rsidRDefault="004678E9" w:rsidP="004678E9">
      <w:pPr>
        <w:numPr>
          <w:ilvl w:val="0"/>
          <w:numId w:val="174"/>
        </w:numPr>
        <w:jc w:val="both"/>
      </w:pPr>
      <w:r w:rsidRPr="004678E9">
        <w:t xml:space="preserve">Fournir des informations utiles à la </w:t>
      </w:r>
      <w:r w:rsidRPr="004678E9">
        <w:rPr>
          <w:b/>
          <w:bCs/>
        </w:rPr>
        <w:t>prise de décision et au pilotage</w:t>
      </w:r>
      <w:r w:rsidRPr="004678E9">
        <w:t>.</w:t>
      </w:r>
    </w:p>
    <w:p w14:paraId="5DB8DC6F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2. Les charges en comptabilité analytique</w:t>
      </w:r>
    </w:p>
    <w:p w14:paraId="17ED8204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2.1. Classification des charges</w:t>
      </w:r>
    </w:p>
    <w:p w14:paraId="0DA19851" w14:textId="77777777" w:rsidR="004678E9" w:rsidRPr="004678E9" w:rsidRDefault="004678E9" w:rsidP="004678E9">
      <w:pPr>
        <w:numPr>
          <w:ilvl w:val="0"/>
          <w:numId w:val="175"/>
        </w:numPr>
        <w:jc w:val="both"/>
      </w:pPr>
      <w:r w:rsidRPr="004678E9">
        <w:rPr>
          <w:b/>
          <w:bCs/>
        </w:rPr>
        <w:t>Charges incorporables</w:t>
      </w:r>
      <w:r w:rsidRPr="004678E9">
        <w:t xml:space="preserve"> : charges liées à l’exploitation et aux activités productives (matières, main-d’œuvre, frais financiers directement liés à l’activité).</w:t>
      </w:r>
    </w:p>
    <w:p w14:paraId="0B5D0C22" w14:textId="77777777" w:rsidR="004678E9" w:rsidRPr="004678E9" w:rsidRDefault="004678E9" w:rsidP="004678E9">
      <w:pPr>
        <w:numPr>
          <w:ilvl w:val="0"/>
          <w:numId w:val="175"/>
        </w:numPr>
        <w:jc w:val="both"/>
      </w:pPr>
      <w:r w:rsidRPr="004678E9">
        <w:rPr>
          <w:b/>
          <w:bCs/>
        </w:rPr>
        <w:t>Charges non incorporables</w:t>
      </w:r>
      <w:r w:rsidRPr="004678E9">
        <w:t xml:space="preserve"> : charges exclues car sans lien direct avec l’exploitation (impôt sur les bénéfices, charges exceptionnelles).</w:t>
      </w:r>
    </w:p>
    <w:p w14:paraId="0BA72A61" w14:textId="77777777" w:rsidR="004678E9" w:rsidRPr="004678E9" w:rsidRDefault="004678E9" w:rsidP="004678E9">
      <w:pPr>
        <w:numPr>
          <w:ilvl w:val="0"/>
          <w:numId w:val="175"/>
        </w:numPr>
        <w:jc w:val="both"/>
      </w:pPr>
      <w:r w:rsidRPr="004678E9">
        <w:rPr>
          <w:b/>
          <w:bCs/>
        </w:rPr>
        <w:t>Charges supplétives</w:t>
      </w:r>
      <w:r w:rsidRPr="004678E9">
        <w:t xml:space="preserve"> : introduites uniquement en comptabilité analytique pour refléter une consommation réelle de ressources non comptabilisées en comptabilité générale (ex. rémunération théorique du dirigeant, rémunération du capital investi).</w:t>
      </w:r>
    </w:p>
    <w:p w14:paraId="27117D4B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2.2. Charges directes et indirectes</w:t>
      </w:r>
    </w:p>
    <w:p w14:paraId="6500669C" w14:textId="77777777" w:rsidR="004678E9" w:rsidRPr="004678E9" w:rsidRDefault="004678E9" w:rsidP="004678E9">
      <w:pPr>
        <w:numPr>
          <w:ilvl w:val="0"/>
          <w:numId w:val="176"/>
        </w:numPr>
        <w:jc w:val="both"/>
      </w:pPr>
      <w:r w:rsidRPr="004678E9">
        <w:rPr>
          <w:b/>
          <w:bCs/>
        </w:rPr>
        <w:t>Directes</w:t>
      </w:r>
      <w:r w:rsidRPr="004678E9">
        <w:t xml:space="preserve"> : imputables immédiatement à un produit ou service (matières premières, main-d’œuvre directe).</w:t>
      </w:r>
    </w:p>
    <w:p w14:paraId="5B6D49A2" w14:textId="77777777" w:rsidR="004678E9" w:rsidRPr="004678E9" w:rsidRDefault="004678E9" w:rsidP="004678E9">
      <w:pPr>
        <w:numPr>
          <w:ilvl w:val="0"/>
          <w:numId w:val="176"/>
        </w:numPr>
        <w:jc w:val="both"/>
      </w:pPr>
      <w:r w:rsidRPr="004678E9">
        <w:rPr>
          <w:b/>
          <w:bCs/>
        </w:rPr>
        <w:t>Indirectes</w:t>
      </w:r>
      <w:r w:rsidRPr="004678E9">
        <w:t xml:space="preserve"> : communes à plusieurs produits/activités (frais de maintenance, électricité, direction). Elles nécessitent une méthode de répartition (unités d’œuvre, taux de frais, etc.).</w:t>
      </w:r>
    </w:p>
    <w:p w14:paraId="6C086716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3. Méthodologie générale de la CAE</w:t>
      </w:r>
    </w:p>
    <w:p w14:paraId="1967B134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3.1. Sections analytiques</w:t>
      </w:r>
    </w:p>
    <w:p w14:paraId="3A05D542" w14:textId="77777777" w:rsidR="004678E9" w:rsidRPr="004678E9" w:rsidRDefault="004678E9" w:rsidP="004678E9">
      <w:pPr>
        <w:numPr>
          <w:ilvl w:val="0"/>
          <w:numId w:val="177"/>
        </w:numPr>
        <w:jc w:val="both"/>
      </w:pPr>
      <w:r w:rsidRPr="004678E9">
        <w:rPr>
          <w:b/>
          <w:bCs/>
        </w:rPr>
        <w:t>Sections principales</w:t>
      </w:r>
      <w:r w:rsidRPr="004678E9">
        <w:t xml:space="preserve"> : directement productives (approvisionnement, production, distribution).</w:t>
      </w:r>
    </w:p>
    <w:p w14:paraId="0CD315C1" w14:textId="77777777" w:rsidR="004678E9" w:rsidRPr="004678E9" w:rsidRDefault="004678E9" w:rsidP="004678E9">
      <w:pPr>
        <w:numPr>
          <w:ilvl w:val="0"/>
          <w:numId w:val="177"/>
        </w:numPr>
        <w:jc w:val="both"/>
      </w:pPr>
      <w:r w:rsidRPr="004678E9">
        <w:rPr>
          <w:b/>
          <w:bCs/>
        </w:rPr>
        <w:t>Sections auxiliaires</w:t>
      </w:r>
      <w:r w:rsidRPr="004678E9">
        <w:t xml:space="preserve"> : services support (administration, entretien, logistique), dont les coûts sont ensuite transférés vers les sections principales.</w:t>
      </w:r>
    </w:p>
    <w:p w14:paraId="18F63940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3.2. Étapes de traitement</w:t>
      </w:r>
    </w:p>
    <w:p w14:paraId="38FEFF34" w14:textId="77777777" w:rsidR="004678E9" w:rsidRPr="004678E9" w:rsidRDefault="004678E9" w:rsidP="004678E9">
      <w:pPr>
        <w:numPr>
          <w:ilvl w:val="0"/>
          <w:numId w:val="178"/>
        </w:numPr>
        <w:jc w:val="both"/>
      </w:pPr>
      <w:r w:rsidRPr="004678E9">
        <w:t>Sélection des charges incorporables à partir de la comptabilité générale.</w:t>
      </w:r>
    </w:p>
    <w:p w14:paraId="29913526" w14:textId="77777777" w:rsidR="004678E9" w:rsidRPr="004678E9" w:rsidRDefault="004678E9" w:rsidP="004678E9">
      <w:pPr>
        <w:numPr>
          <w:ilvl w:val="0"/>
          <w:numId w:val="178"/>
        </w:numPr>
        <w:jc w:val="both"/>
      </w:pPr>
      <w:r w:rsidRPr="004678E9">
        <w:t>Répartition primaire : affectation des charges directes et indirectes dans les différentes sections.</w:t>
      </w:r>
    </w:p>
    <w:p w14:paraId="42B0C2AE" w14:textId="77777777" w:rsidR="004678E9" w:rsidRPr="004678E9" w:rsidRDefault="004678E9" w:rsidP="004678E9">
      <w:pPr>
        <w:numPr>
          <w:ilvl w:val="0"/>
          <w:numId w:val="178"/>
        </w:numPr>
        <w:jc w:val="both"/>
      </w:pPr>
      <w:r w:rsidRPr="004678E9">
        <w:t>Répartition secondaire : transfert des coûts des sections auxiliaires vers les sections principales.</w:t>
      </w:r>
    </w:p>
    <w:p w14:paraId="122958D1" w14:textId="77777777" w:rsidR="004678E9" w:rsidRPr="004678E9" w:rsidRDefault="004678E9" w:rsidP="004678E9">
      <w:pPr>
        <w:numPr>
          <w:ilvl w:val="0"/>
          <w:numId w:val="178"/>
        </w:numPr>
        <w:jc w:val="both"/>
      </w:pPr>
      <w:r w:rsidRPr="004678E9">
        <w:t>Calcul des coûts d’unités d’œuvre et imputation aux produits.</w:t>
      </w:r>
    </w:p>
    <w:p w14:paraId="574107F7" w14:textId="77777777" w:rsidR="004678E9" w:rsidRPr="004678E9" w:rsidRDefault="004678E9" w:rsidP="004678E9">
      <w:pPr>
        <w:numPr>
          <w:ilvl w:val="0"/>
          <w:numId w:val="178"/>
        </w:numPr>
        <w:jc w:val="both"/>
      </w:pPr>
      <w:r w:rsidRPr="004678E9">
        <w:t>Détermination des coûts intermédiaires : coût d’achat, coût de production, coût de revient.</w:t>
      </w:r>
    </w:p>
    <w:p w14:paraId="2291E055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lastRenderedPageBreak/>
        <w:t>4. Hiérarchie des coûts</w:t>
      </w:r>
    </w:p>
    <w:p w14:paraId="5157D35A" w14:textId="77777777" w:rsidR="004678E9" w:rsidRPr="004678E9" w:rsidRDefault="004678E9" w:rsidP="004678E9">
      <w:pPr>
        <w:jc w:val="both"/>
      </w:pPr>
      <w:r w:rsidRPr="004678E9">
        <w:t>La CAE établit une succession logique de coûts, chacun intégrant progressivement de nouveaux éléments :</w:t>
      </w:r>
    </w:p>
    <w:p w14:paraId="3153FF8F" w14:textId="77777777" w:rsidR="004678E9" w:rsidRPr="004678E9" w:rsidRDefault="004678E9" w:rsidP="004678E9">
      <w:pPr>
        <w:numPr>
          <w:ilvl w:val="0"/>
          <w:numId w:val="179"/>
        </w:numPr>
        <w:jc w:val="both"/>
      </w:pPr>
      <w:r w:rsidRPr="004678E9">
        <w:rPr>
          <w:b/>
          <w:bCs/>
        </w:rPr>
        <w:t>Coût d’achat</w:t>
      </w:r>
      <w:r w:rsidRPr="004678E9">
        <w:t xml:space="preserve"> = Prix d’achat + Frais d’approvisionnement.</w:t>
      </w:r>
    </w:p>
    <w:p w14:paraId="7E7FDEF2" w14:textId="77777777" w:rsidR="004678E9" w:rsidRPr="004678E9" w:rsidRDefault="004678E9" w:rsidP="004678E9">
      <w:pPr>
        <w:numPr>
          <w:ilvl w:val="0"/>
          <w:numId w:val="179"/>
        </w:numPr>
        <w:jc w:val="both"/>
      </w:pPr>
      <w:r w:rsidRPr="004678E9">
        <w:rPr>
          <w:b/>
          <w:bCs/>
        </w:rPr>
        <w:t>Coût de production</w:t>
      </w:r>
      <w:r w:rsidRPr="004678E9">
        <w:t xml:space="preserve"> = Coût d’achat des matières consommées + Main-d’œuvre directe + Charges indirectes de production.</w:t>
      </w:r>
    </w:p>
    <w:p w14:paraId="0A98ED7E" w14:textId="77777777" w:rsidR="004678E9" w:rsidRPr="004678E9" w:rsidRDefault="004678E9" w:rsidP="004678E9">
      <w:pPr>
        <w:numPr>
          <w:ilvl w:val="0"/>
          <w:numId w:val="179"/>
        </w:numPr>
        <w:jc w:val="both"/>
      </w:pPr>
      <w:r w:rsidRPr="004678E9">
        <w:rPr>
          <w:b/>
          <w:bCs/>
        </w:rPr>
        <w:t>Coût de revient</w:t>
      </w:r>
      <w:r w:rsidRPr="004678E9">
        <w:t xml:space="preserve"> = Coût de production des produits vendus + Frais de distribution.</w:t>
      </w:r>
    </w:p>
    <w:p w14:paraId="27DBACC1" w14:textId="77777777" w:rsidR="004678E9" w:rsidRPr="004678E9" w:rsidRDefault="004678E9" w:rsidP="004678E9">
      <w:pPr>
        <w:numPr>
          <w:ilvl w:val="0"/>
          <w:numId w:val="179"/>
        </w:numPr>
        <w:jc w:val="both"/>
      </w:pPr>
      <w:r w:rsidRPr="004678E9">
        <w:rPr>
          <w:b/>
          <w:bCs/>
        </w:rPr>
        <w:t>Résultat analytique</w:t>
      </w:r>
      <w:r w:rsidRPr="004678E9">
        <w:t xml:space="preserve"> = Chiffre d’affaires – Coût de revient.</w:t>
      </w:r>
    </w:p>
    <w:p w14:paraId="7535574F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5. Outils d’imputation des charges indirectes</w:t>
      </w:r>
    </w:p>
    <w:p w14:paraId="1A635ECC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5.1. Unités d’œuvre (UO)</w:t>
      </w:r>
    </w:p>
    <w:p w14:paraId="71387D91" w14:textId="77777777" w:rsidR="004678E9" w:rsidRPr="004678E9" w:rsidRDefault="004678E9" w:rsidP="004678E9">
      <w:pPr>
        <w:jc w:val="both"/>
      </w:pPr>
      <w:r w:rsidRPr="004678E9">
        <w:t>Mesure physique utilisée pour imputer les charges indirectes de production. Exemple : heures machine, heures MOD, kWh consommés.</w:t>
      </w:r>
    </w:p>
    <w:p w14:paraId="1F360C21" w14:textId="77777777" w:rsidR="004678E9" w:rsidRPr="004678E9" w:rsidRDefault="004678E9" w:rsidP="004678E9">
      <w:pPr>
        <w:numPr>
          <w:ilvl w:val="0"/>
          <w:numId w:val="180"/>
        </w:numPr>
        <w:jc w:val="both"/>
      </w:pPr>
      <w:r w:rsidRPr="004678E9">
        <w:t>Si une section a un coût de 50 000 € et 5 000 heures machine, le coût unitaire d’une UO = 10 €.</w:t>
      </w:r>
    </w:p>
    <w:p w14:paraId="777C098E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5.2. Taux de frais</w:t>
      </w:r>
    </w:p>
    <w:p w14:paraId="6C8775EF" w14:textId="77777777" w:rsidR="004678E9" w:rsidRPr="004678E9" w:rsidRDefault="004678E9" w:rsidP="004678E9">
      <w:pPr>
        <w:jc w:val="both"/>
      </w:pPr>
      <w:r w:rsidRPr="004678E9">
        <w:t>Pour les charges de structure, les frais peuvent être imputés en pourcentage d’une base (ex. coût de production, chiffre d’affaires).</w:t>
      </w:r>
    </w:p>
    <w:p w14:paraId="3A0AD0A4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6. Éléments spécifiques de la CAE</w:t>
      </w:r>
    </w:p>
    <w:p w14:paraId="4BF2F15A" w14:textId="77777777" w:rsidR="004678E9" w:rsidRPr="004678E9" w:rsidRDefault="004678E9" w:rsidP="004678E9">
      <w:pPr>
        <w:numPr>
          <w:ilvl w:val="0"/>
          <w:numId w:val="181"/>
        </w:numPr>
        <w:jc w:val="both"/>
      </w:pPr>
      <w:r w:rsidRPr="004678E9">
        <w:rPr>
          <w:b/>
          <w:bCs/>
        </w:rPr>
        <w:t>Déchets et rebuts</w:t>
      </w:r>
      <w:r w:rsidRPr="004678E9">
        <w:t xml:space="preserve"> : pertes de production qui influencent le coût de revient (valorisation ou non).</w:t>
      </w:r>
    </w:p>
    <w:p w14:paraId="4221F85D" w14:textId="77777777" w:rsidR="004678E9" w:rsidRPr="004678E9" w:rsidRDefault="004678E9" w:rsidP="004678E9">
      <w:pPr>
        <w:numPr>
          <w:ilvl w:val="0"/>
          <w:numId w:val="181"/>
        </w:numPr>
        <w:jc w:val="both"/>
      </w:pPr>
      <w:r w:rsidRPr="004678E9">
        <w:rPr>
          <w:b/>
          <w:bCs/>
        </w:rPr>
        <w:t>Sous-produits</w:t>
      </w:r>
      <w:r w:rsidRPr="004678E9">
        <w:t xml:space="preserve"> : produits secondaires, valorisés séparément et déduits du coût de revient du produit principal.</w:t>
      </w:r>
    </w:p>
    <w:p w14:paraId="2C41EC7E" w14:textId="77777777" w:rsidR="004678E9" w:rsidRPr="004678E9" w:rsidRDefault="004678E9" w:rsidP="004678E9">
      <w:pPr>
        <w:numPr>
          <w:ilvl w:val="0"/>
          <w:numId w:val="181"/>
        </w:numPr>
        <w:jc w:val="both"/>
      </w:pPr>
      <w:r w:rsidRPr="004678E9">
        <w:rPr>
          <w:b/>
          <w:bCs/>
        </w:rPr>
        <w:t>Encours de production</w:t>
      </w:r>
      <w:r w:rsidRPr="004678E9">
        <w:t xml:space="preserve"> : biens en cours de fabrication. On valorise la partie achevée pour évaluer correctement le stock.</w:t>
      </w:r>
    </w:p>
    <w:p w14:paraId="2563CDA6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7. Concordance des résultats</w:t>
      </w:r>
    </w:p>
    <w:p w14:paraId="00D51148" w14:textId="77777777" w:rsidR="004678E9" w:rsidRPr="004678E9" w:rsidRDefault="004678E9" w:rsidP="004678E9">
      <w:pPr>
        <w:jc w:val="both"/>
      </w:pPr>
      <w:r w:rsidRPr="004678E9">
        <w:t>Le résultat de la CAE peut différer de celui de la comptabilité générale. Une table de passage est donc nécessaire :</w:t>
      </w:r>
    </w:p>
    <w:p w14:paraId="09049E92" w14:textId="14947C88" w:rsidR="004678E9" w:rsidRPr="004678E9" w:rsidRDefault="004678E9" w:rsidP="004678E9">
      <w:pPr>
        <w:jc w:val="both"/>
      </w:pPr>
      <m:oMathPara>
        <m:oMath>
          <m:r>
            <w:rPr>
              <w:rFonts w:ascii="Cambria Math" w:hAnsi="Cambria Math"/>
            </w:rPr>
            <m:t>R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sultat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CAE=R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sultat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CG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Charges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non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incorporables+Charges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suppl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tives±Diff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rences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</m:t>
          </m:r>
          <m:r>
            <m:rPr>
              <m:nor/>
            </m:rPr>
            <m:t>’</m:t>
          </m:r>
          <m:r>
            <w:rPr>
              <w:rFonts w:ascii="Cambria Math" w:hAnsi="Cambria Math"/>
            </w:rPr>
            <m:t>inventaire</m:t>
          </m:r>
        </m:oMath>
      </m:oMathPara>
    </w:p>
    <w:p w14:paraId="11440F59" w14:textId="77777777" w:rsidR="004678E9" w:rsidRPr="004678E9" w:rsidRDefault="004678E9" w:rsidP="004678E9">
      <w:pPr>
        <w:jc w:val="both"/>
      </w:pPr>
      <w:r w:rsidRPr="004678E9">
        <w:t>Cette concordance garantit la fiabilité et la cohérence des deux systèmes comptables.</w:t>
      </w:r>
    </w:p>
    <w:p w14:paraId="65C5FA81" w14:textId="77777777" w:rsidR="004678E9" w:rsidRDefault="004678E9">
      <w:pPr>
        <w:rPr>
          <w:b/>
          <w:bCs/>
        </w:rPr>
      </w:pPr>
      <w:r>
        <w:rPr>
          <w:b/>
          <w:bCs/>
        </w:rPr>
        <w:br w:type="page"/>
      </w:r>
    </w:p>
    <w:p w14:paraId="52D3EC44" w14:textId="6ADAC50A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lastRenderedPageBreak/>
        <w:t>8. Exemple simplifié de calcul</w:t>
      </w:r>
    </w:p>
    <w:p w14:paraId="271BD6E1" w14:textId="77777777" w:rsidR="004678E9" w:rsidRPr="004678E9" w:rsidRDefault="004678E9" w:rsidP="004678E9">
      <w:pPr>
        <w:jc w:val="both"/>
      </w:pPr>
      <w:r w:rsidRPr="004678E9">
        <w:t>Une entreprise fabrique 1 200 unités, vendues à 60 € pièce.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1347"/>
      </w:tblGrid>
      <w:tr w:rsidR="004678E9" w:rsidRPr="004678E9" w14:paraId="44620098" w14:textId="77777777" w:rsidTr="004678E9">
        <w:tc>
          <w:tcPr>
            <w:tcW w:w="0" w:type="auto"/>
            <w:hideMark/>
          </w:tcPr>
          <w:p w14:paraId="720F37F9" w14:textId="77777777" w:rsidR="004678E9" w:rsidRPr="004678E9" w:rsidRDefault="004678E9" w:rsidP="004678E9">
            <w:pPr>
              <w:spacing w:after="160" w:line="259" w:lineRule="auto"/>
              <w:jc w:val="both"/>
              <w:rPr>
                <w:b/>
                <w:bCs/>
              </w:rPr>
            </w:pPr>
            <w:r w:rsidRPr="004678E9">
              <w:rPr>
                <w:b/>
                <w:bCs/>
              </w:rPr>
              <w:t>Élément</w:t>
            </w:r>
          </w:p>
        </w:tc>
        <w:tc>
          <w:tcPr>
            <w:tcW w:w="0" w:type="auto"/>
            <w:hideMark/>
          </w:tcPr>
          <w:p w14:paraId="4CE33B2D" w14:textId="77777777" w:rsidR="004678E9" w:rsidRPr="004678E9" w:rsidRDefault="004678E9" w:rsidP="004678E9">
            <w:pPr>
              <w:spacing w:after="160" w:line="259" w:lineRule="auto"/>
              <w:jc w:val="both"/>
              <w:rPr>
                <w:b/>
                <w:bCs/>
              </w:rPr>
            </w:pPr>
            <w:r w:rsidRPr="004678E9">
              <w:rPr>
                <w:b/>
                <w:bCs/>
              </w:rPr>
              <w:t>Montant (€)</w:t>
            </w:r>
          </w:p>
        </w:tc>
      </w:tr>
      <w:tr w:rsidR="004678E9" w:rsidRPr="004678E9" w14:paraId="4C094DC5" w14:textId="77777777" w:rsidTr="004678E9">
        <w:tc>
          <w:tcPr>
            <w:tcW w:w="0" w:type="auto"/>
            <w:hideMark/>
          </w:tcPr>
          <w:p w14:paraId="7EBD997D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t>Matières premières (6 000 × 5,5)</w:t>
            </w:r>
          </w:p>
        </w:tc>
        <w:tc>
          <w:tcPr>
            <w:tcW w:w="0" w:type="auto"/>
            <w:hideMark/>
          </w:tcPr>
          <w:p w14:paraId="4AB63B2F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t>33 000</w:t>
            </w:r>
          </w:p>
        </w:tc>
      </w:tr>
      <w:tr w:rsidR="004678E9" w:rsidRPr="004678E9" w14:paraId="2F56FE8C" w14:textId="77777777" w:rsidTr="004678E9">
        <w:tc>
          <w:tcPr>
            <w:tcW w:w="0" w:type="auto"/>
            <w:hideMark/>
          </w:tcPr>
          <w:p w14:paraId="1BF95449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t>Main-d’œuvre directe (60 h × 50)</w:t>
            </w:r>
          </w:p>
        </w:tc>
        <w:tc>
          <w:tcPr>
            <w:tcW w:w="0" w:type="auto"/>
            <w:hideMark/>
          </w:tcPr>
          <w:p w14:paraId="47234691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t>3 000</w:t>
            </w:r>
          </w:p>
        </w:tc>
      </w:tr>
      <w:tr w:rsidR="004678E9" w:rsidRPr="004678E9" w14:paraId="50D6CD6E" w14:textId="77777777" w:rsidTr="004678E9">
        <w:tc>
          <w:tcPr>
            <w:tcW w:w="0" w:type="auto"/>
            <w:hideMark/>
          </w:tcPr>
          <w:p w14:paraId="376FFA7B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t>Charges indirectes réparties</w:t>
            </w:r>
          </w:p>
        </w:tc>
        <w:tc>
          <w:tcPr>
            <w:tcW w:w="0" w:type="auto"/>
            <w:hideMark/>
          </w:tcPr>
          <w:p w14:paraId="5DE90E4F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t>8 100</w:t>
            </w:r>
          </w:p>
        </w:tc>
      </w:tr>
      <w:tr w:rsidR="004678E9" w:rsidRPr="004678E9" w14:paraId="00A5BEF4" w14:textId="77777777" w:rsidTr="004678E9">
        <w:tc>
          <w:tcPr>
            <w:tcW w:w="0" w:type="auto"/>
            <w:hideMark/>
          </w:tcPr>
          <w:p w14:paraId="5B93E1E8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rPr>
                <w:b/>
                <w:bCs/>
              </w:rPr>
              <w:t>Coût de production total</w:t>
            </w:r>
          </w:p>
        </w:tc>
        <w:tc>
          <w:tcPr>
            <w:tcW w:w="0" w:type="auto"/>
            <w:hideMark/>
          </w:tcPr>
          <w:p w14:paraId="534E5F2A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rPr>
                <w:b/>
                <w:bCs/>
              </w:rPr>
              <w:t>44 100</w:t>
            </w:r>
          </w:p>
        </w:tc>
      </w:tr>
      <w:tr w:rsidR="004678E9" w:rsidRPr="004678E9" w14:paraId="6B43A578" w14:textId="77777777" w:rsidTr="004678E9">
        <w:tc>
          <w:tcPr>
            <w:tcW w:w="0" w:type="auto"/>
            <w:hideMark/>
          </w:tcPr>
          <w:p w14:paraId="719B514F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rPr>
                <w:b/>
                <w:bCs/>
              </w:rPr>
              <w:t>Coût unitaire de production</w:t>
            </w:r>
          </w:p>
        </w:tc>
        <w:tc>
          <w:tcPr>
            <w:tcW w:w="0" w:type="auto"/>
            <w:hideMark/>
          </w:tcPr>
          <w:p w14:paraId="6E8B2627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rPr>
                <w:b/>
                <w:bCs/>
              </w:rPr>
              <w:t>36,75 €/u</w:t>
            </w:r>
          </w:p>
        </w:tc>
      </w:tr>
      <w:tr w:rsidR="004678E9" w:rsidRPr="004678E9" w14:paraId="237C3AC9" w14:textId="77777777" w:rsidTr="004678E9">
        <w:tc>
          <w:tcPr>
            <w:tcW w:w="0" w:type="auto"/>
            <w:hideMark/>
          </w:tcPr>
          <w:p w14:paraId="1D2FDDD0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t>Frais de distribution</w:t>
            </w:r>
          </w:p>
        </w:tc>
        <w:tc>
          <w:tcPr>
            <w:tcW w:w="0" w:type="auto"/>
            <w:hideMark/>
          </w:tcPr>
          <w:p w14:paraId="505D39B8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t>7 600</w:t>
            </w:r>
          </w:p>
        </w:tc>
      </w:tr>
      <w:tr w:rsidR="004678E9" w:rsidRPr="004678E9" w14:paraId="4A048FF2" w14:textId="77777777" w:rsidTr="004678E9">
        <w:tc>
          <w:tcPr>
            <w:tcW w:w="0" w:type="auto"/>
            <w:hideMark/>
          </w:tcPr>
          <w:p w14:paraId="6FE7FCEB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rPr>
                <w:b/>
                <w:bCs/>
              </w:rPr>
              <w:t>Coût de revient total (1 200 u)</w:t>
            </w:r>
          </w:p>
        </w:tc>
        <w:tc>
          <w:tcPr>
            <w:tcW w:w="0" w:type="auto"/>
            <w:hideMark/>
          </w:tcPr>
          <w:p w14:paraId="31DEC3A6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rPr>
                <w:b/>
                <w:bCs/>
              </w:rPr>
              <w:t>51 700</w:t>
            </w:r>
          </w:p>
        </w:tc>
      </w:tr>
      <w:tr w:rsidR="004678E9" w:rsidRPr="004678E9" w14:paraId="0262F615" w14:textId="77777777" w:rsidTr="004678E9">
        <w:tc>
          <w:tcPr>
            <w:tcW w:w="0" w:type="auto"/>
            <w:hideMark/>
          </w:tcPr>
          <w:p w14:paraId="2C130C2F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rPr>
                <w:b/>
                <w:bCs/>
              </w:rPr>
              <w:t>Coût de revient unitaire</w:t>
            </w:r>
          </w:p>
        </w:tc>
        <w:tc>
          <w:tcPr>
            <w:tcW w:w="0" w:type="auto"/>
            <w:hideMark/>
          </w:tcPr>
          <w:p w14:paraId="71C735AC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rPr>
                <w:b/>
                <w:bCs/>
              </w:rPr>
              <w:t>43,08 €/u</w:t>
            </w:r>
          </w:p>
        </w:tc>
      </w:tr>
      <w:tr w:rsidR="004678E9" w:rsidRPr="004678E9" w14:paraId="4F205964" w14:textId="77777777" w:rsidTr="004678E9">
        <w:tc>
          <w:tcPr>
            <w:tcW w:w="0" w:type="auto"/>
            <w:hideMark/>
          </w:tcPr>
          <w:p w14:paraId="29873B01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t>Chiffre d’affaires (1 200 × 60)</w:t>
            </w:r>
          </w:p>
        </w:tc>
        <w:tc>
          <w:tcPr>
            <w:tcW w:w="0" w:type="auto"/>
            <w:hideMark/>
          </w:tcPr>
          <w:p w14:paraId="43EF51C2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t>72 000</w:t>
            </w:r>
          </w:p>
        </w:tc>
      </w:tr>
      <w:tr w:rsidR="004678E9" w:rsidRPr="004678E9" w14:paraId="14A59263" w14:textId="77777777" w:rsidTr="004678E9">
        <w:tc>
          <w:tcPr>
            <w:tcW w:w="0" w:type="auto"/>
            <w:hideMark/>
          </w:tcPr>
          <w:p w14:paraId="271229F8" w14:textId="77777777" w:rsidR="004678E9" w:rsidRPr="004678E9" w:rsidRDefault="004678E9" w:rsidP="004678E9">
            <w:pPr>
              <w:spacing w:after="160" w:line="259" w:lineRule="auto"/>
              <w:jc w:val="both"/>
            </w:pPr>
            <w:r w:rsidRPr="004678E9">
              <w:rPr>
                <w:b/>
                <w:bCs/>
              </w:rPr>
              <w:t>Résultat analytique</w:t>
            </w:r>
          </w:p>
        </w:tc>
        <w:tc>
          <w:tcPr>
            <w:tcW w:w="0" w:type="auto"/>
            <w:hideMark/>
          </w:tcPr>
          <w:p w14:paraId="7EE0E45C" w14:textId="77777777" w:rsidR="004678E9" w:rsidRPr="004678E9" w:rsidRDefault="004678E9" w:rsidP="004678E9">
            <w:pPr>
              <w:spacing w:after="160" w:line="259" w:lineRule="auto"/>
              <w:jc w:val="right"/>
            </w:pPr>
            <w:r w:rsidRPr="004678E9">
              <w:rPr>
                <w:b/>
                <w:bCs/>
              </w:rPr>
              <w:t>20 300</w:t>
            </w:r>
          </w:p>
        </w:tc>
      </w:tr>
    </w:tbl>
    <w:p w14:paraId="6E5D43C4" w14:textId="77777777" w:rsidR="004678E9" w:rsidRPr="004678E9" w:rsidRDefault="004678E9" w:rsidP="004678E9">
      <w:pPr>
        <w:jc w:val="both"/>
        <w:rPr>
          <w:b/>
          <w:bCs/>
        </w:rPr>
      </w:pPr>
      <w:r w:rsidRPr="004678E9">
        <w:rPr>
          <w:b/>
          <w:bCs/>
        </w:rPr>
        <w:t>9. Synthèse finale</w:t>
      </w:r>
    </w:p>
    <w:p w14:paraId="0AFDBB34" w14:textId="77777777" w:rsidR="004678E9" w:rsidRPr="004678E9" w:rsidRDefault="004678E9" w:rsidP="004678E9">
      <w:pPr>
        <w:jc w:val="both"/>
      </w:pPr>
      <w:r w:rsidRPr="004678E9">
        <w:t xml:space="preserve">La comptabilité analytique d’exploitation est une </w:t>
      </w:r>
      <w:r w:rsidRPr="004678E9">
        <w:rPr>
          <w:b/>
          <w:bCs/>
        </w:rPr>
        <w:t>méthode de calcul et d’analyse des coûts</w:t>
      </w:r>
      <w:r w:rsidRPr="004678E9">
        <w:t xml:space="preserve"> indispensable pour le pilotage interne.</w:t>
      </w:r>
    </w:p>
    <w:p w14:paraId="43037D40" w14:textId="77777777" w:rsidR="004678E9" w:rsidRPr="004678E9" w:rsidRDefault="004678E9" w:rsidP="004678E9">
      <w:pPr>
        <w:numPr>
          <w:ilvl w:val="0"/>
          <w:numId w:val="182"/>
        </w:numPr>
        <w:jc w:val="both"/>
      </w:pPr>
      <w:r w:rsidRPr="004678E9">
        <w:t>Elle distingue les charges selon leur nature (incorporables, non incorporables, supplétives).</w:t>
      </w:r>
    </w:p>
    <w:p w14:paraId="77E8E566" w14:textId="77777777" w:rsidR="004678E9" w:rsidRPr="004678E9" w:rsidRDefault="004678E9" w:rsidP="004678E9">
      <w:pPr>
        <w:numPr>
          <w:ilvl w:val="0"/>
          <w:numId w:val="182"/>
        </w:numPr>
        <w:jc w:val="both"/>
      </w:pPr>
      <w:r w:rsidRPr="004678E9">
        <w:t>Elle calcule successivement les coûts d’achat, de production et de revient pour aboutir au résultat analytique.</w:t>
      </w:r>
    </w:p>
    <w:p w14:paraId="3CB58280" w14:textId="77777777" w:rsidR="004678E9" w:rsidRPr="004678E9" w:rsidRDefault="004678E9" w:rsidP="004678E9">
      <w:pPr>
        <w:numPr>
          <w:ilvl w:val="0"/>
          <w:numId w:val="182"/>
        </w:numPr>
        <w:jc w:val="both"/>
      </w:pPr>
      <w:r w:rsidRPr="004678E9">
        <w:t>Elle repose sur des outils de répartition des charges indirectes (unités d’œuvre, taux de frais).</w:t>
      </w:r>
    </w:p>
    <w:p w14:paraId="1A5C3980" w14:textId="77777777" w:rsidR="004678E9" w:rsidRPr="004678E9" w:rsidRDefault="004678E9" w:rsidP="004678E9">
      <w:pPr>
        <w:numPr>
          <w:ilvl w:val="0"/>
          <w:numId w:val="182"/>
        </w:numPr>
        <w:jc w:val="both"/>
      </w:pPr>
      <w:r w:rsidRPr="004678E9">
        <w:t>Elle valorise aussi les stocks et prend en compte les déchets, sous-produits et encours.</w:t>
      </w:r>
    </w:p>
    <w:p w14:paraId="5F16A489" w14:textId="77777777" w:rsidR="004678E9" w:rsidRPr="004678E9" w:rsidRDefault="004678E9" w:rsidP="004678E9">
      <w:pPr>
        <w:numPr>
          <w:ilvl w:val="0"/>
          <w:numId w:val="182"/>
        </w:numPr>
        <w:jc w:val="both"/>
      </w:pPr>
      <w:r w:rsidRPr="004678E9">
        <w:t>Enfin, elle établit une concordance avec la comptabilité générale pour garantir la cohérence des résultats.</w:t>
      </w:r>
    </w:p>
    <w:p w14:paraId="79EFEDA9" w14:textId="5080DB2B" w:rsidR="003F7676" w:rsidRPr="00F73967" w:rsidRDefault="004678E9" w:rsidP="00F73967">
      <w:pPr>
        <w:jc w:val="both"/>
      </w:pPr>
      <w:r w:rsidRPr="004678E9">
        <w:t xml:space="preserve">La CAE constitue ainsi la </w:t>
      </w:r>
      <w:r w:rsidRPr="004678E9">
        <w:rPr>
          <w:b/>
          <w:bCs/>
        </w:rPr>
        <w:t>colonne vertébrale du calcul de coûts</w:t>
      </w:r>
      <w:r w:rsidRPr="004678E9">
        <w:t>, en permettant de déterminer les prix, de mesurer la rentabilité et d’améliorer l’efficacité des processus.</w:t>
      </w: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A386" w14:textId="77777777" w:rsidR="00020E89" w:rsidRDefault="00020E89" w:rsidP="00580F46">
      <w:pPr>
        <w:spacing w:after="0" w:line="240" w:lineRule="auto"/>
      </w:pPr>
      <w:r>
        <w:separator/>
      </w:r>
    </w:p>
  </w:endnote>
  <w:endnote w:type="continuationSeparator" w:id="0">
    <w:p w14:paraId="68B4C22C" w14:textId="77777777" w:rsidR="00020E89" w:rsidRDefault="00020E89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7D2A" w14:textId="77777777" w:rsidR="00020E89" w:rsidRDefault="00020E89" w:rsidP="00580F46">
      <w:pPr>
        <w:spacing w:after="0" w:line="240" w:lineRule="auto"/>
      </w:pPr>
      <w:r>
        <w:separator/>
      </w:r>
    </w:p>
  </w:footnote>
  <w:footnote w:type="continuationSeparator" w:id="0">
    <w:p w14:paraId="25626C3E" w14:textId="77777777" w:rsidR="00020E89" w:rsidRDefault="00020E89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790120"/>
    <w:multiLevelType w:val="multilevel"/>
    <w:tmpl w:val="D2A6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43653"/>
    <w:multiLevelType w:val="multilevel"/>
    <w:tmpl w:val="B620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2F73C1"/>
    <w:multiLevelType w:val="multilevel"/>
    <w:tmpl w:val="E628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2B72B7"/>
    <w:multiLevelType w:val="multilevel"/>
    <w:tmpl w:val="6630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DCE4735"/>
    <w:multiLevelType w:val="multilevel"/>
    <w:tmpl w:val="F24C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276607"/>
    <w:multiLevelType w:val="multilevel"/>
    <w:tmpl w:val="ED1E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A944DE"/>
    <w:multiLevelType w:val="multilevel"/>
    <w:tmpl w:val="6230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AC3237"/>
    <w:multiLevelType w:val="multilevel"/>
    <w:tmpl w:val="34B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DAE0D80"/>
    <w:multiLevelType w:val="multilevel"/>
    <w:tmpl w:val="4D44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9"/>
  </w:num>
  <w:num w:numId="2" w16cid:durableId="1969772821">
    <w:abstractNumId w:val="52"/>
  </w:num>
  <w:num w:numId="3" w16cid:durableId="993755049">
    <w:abstractNumId w:val="115"/>
  </w:num>
  <w:num w:numId="4" w16cid:durableId="586116025">
    <w:abstractNumId w:val="160"/>
  </w:num>
  <w:num w:numId="5" w16cid:durableId="1702245743">
    <w:abstractNumId w:val="166"/>
  </w:num>
  <w:num w:numId="6" w16cid:durableId="1128276001">
    <w:abstractNumId w:val="83"/>
  </w:num>
  <w:num w:numId="7" w16cid:durableId="299381959">
    <w:abstractNumId w:val="99"/>
  </w:num>
  <w:num w:numId="8" w16cid:durableId="743184661">
    <w:abstractNumId w:val="165"/>
  </w:num>
  <w:num w:numId="9" w16cid:durableId="1202087570">
    <w:abstractNumId w:val="174"/>
  </w:num>
  <w:num w:numId="10" w16cid:durableId="1028410972">
    <w:abstractNumId w:val="84"/>
  </w:num>
  <w:num w:numId="11" w16cid:durableId="210462333">
    <w:abstractNumId w:val="61"/>
  </w:num>
  <w:num w:numId="12" w16cid:durableId="2095080098">
    <w:abstractNumId w:val="53"/>
  </w:num>
  <w:num w:numId="13" w16cid:durableId="1395931051">
    <w:abstractNumId w:val="38"/>
  </w:num>
  <w:num w:numId="14" w16cid:durableId="1108617728">
    <w:abstractNumId w:val="114"/>
  </w:num>
  <w:num w:numId="15" w16cid:durableId="951476451">
    <w:abstractNumId w:val="47"/>
  </w:num>
  <w:num w:numId="16" w16cid:durableId="1267739148">
    <w:abstractNumId w:val="72"/>
  </w:num>
  <w:num w:numId="17" w16cid:durableId="1181970123">
    <w:abstractNumId w:val="91"/>
  </w:num>
  <w:num w:numId="18" w16cid:durableId="451361762">
    <w:abstractNumId w:val="88"/>
  </w:num>
  <w:num w:numId="19" w16cid:durableId="1719695523">
    <w:abstractNumId w:val="144"/>
  </w:num>
  <w:num w:numId="20" w16cid:durableId="1708723590">
    <w:abstractNumId w:val="156"/>
  </w:num>
  <w:num w:numId="21" w16cid:durableId="362706822">
    <w:abstractNumId w:val="8"/>
  </w:num>
  <w:num w:numId="22" w16cid:durableId="429470193">
    <w:abstractNumId w:val="178"/>
  </w:num>
  <w:num w:numId="23" w16cid:durableId="1301614841">
    <w:abstractNumId w:val="54"/>
  </w:num>
  <w:num w:numId="24" w16cid:durableId="555823789">
    <w:abstractNumId w:val="105"/>
  </w:num>
  <w:num w:numId="25" w16cid:durableId="1808740245">
    <w:abstractNumId w:val="146"/>
  </w:num>
  <w:num w:numId="26" w16cid:durableId="905334348">
    <w:abstractNumId w:val="107"/>
  </w:num>
  <w:num w:numId="27" w16cid:durableId="1762139636">
    <w:abstractNumId w:val="177"/>
  </w:num>
  <w:num w:numId="28" w16cid:durableId="623661194">
    <w:abstractNumId w:val="131"/>
  </w:num>
  <w:num w:numId="29" w16cid:durableId="1080519049">
    <w:abstractNumId w:val="169"/>
  </w:num>
  <w:num w:numId="30" w16cid:durableId="1764302913">
    <w:abstractNumId w:val="0"/>
  </w:num>
  <w:num w:numId="31" w16cid:durableId="265162533">
    <w:abstractNumId w:val="62"/>
  </w:num>
  <w:num w:numId="32" w16cid:durableId="1980257717">
    <w:abstractNumId w:val="1"/>
  </w:num>
  <w:num w:numId="33" w16cid:durableId="176776402">
    <w:abstractNumId w:val="172"/>
  </w:num>
  <w:num w:numId="34" w16cid:durableId="1466654264">
    <w:abstractNumId w:val="28"/>
  </w:num>
  <w:num w:numId="35" w16cid:durableId="1989239436">
    <w:abstractNumId w:val="94"/>
  </w:num>
  <w:num w:numId="36" w16cid:durableId="848104552">
    <w:abstractNumId w:val="67"/>
  </w:num>
  <w:num w:numId="37" w16cid:durableId="1857960856">
    <w:abstractNumId w:val="21"/>
  </w:num>
  <w:num w:numId="38" w16cid:durableId="435444936">
    <w:abstractNumId w:val="176"/>
  </w:num>
  <w:num w:numId="39" w16cid:durableId="1903324043">
    <w:abstractNumId w:val="36"/>
  </w:num>
  <w:num w:numId="40" w16cid:durableId="246352112">
    <w:abstractNumId w:val="18"/>
  </w:num>
  <w:num w:numId="41" w16cid:durableId="1024359036">
    <w:abstractNumId w:val="60"/>
  </w:num>
  <w:num w:numId="42" w16cid:durableId="1298218601">
    <w:abstractNumId w:val="89"/>
  </w:num>
  <w:num w:numId="43" w16cid:durableId="234169730">
    <w:abstractNumId w:val="15"/>
  </w:num>
  <w:num w:numId="44" w16cid:durableId="693383009">
    <w:abstractNumId w:val="49"/>
  </w:num>
  <w:num w:numId="45" w16cid:durableId="1686591168">
    <w:abstractNumId w:val="124"/>
  </w:num>
  <w:num w:numId="46" w16cid:durableId="1924727275">
    <w:abstractNumId w:val="118"/>
  </w:num>
  <w:num w:numId="47" w16cid:durableId="218908341">
    <w:abstractNumId w:val="112"/>
  </w:num>
  <w:num w:numId="48" w16cid:durableId="1416515728">
    <w:abstractNumId w:val="126"/>
  </w:num>
  <w:num w:numId="49" w16cid:durableId="1126894720">
    <w:abstractNumId w:val="171"/>
  </w:num>
  <w:num w:numId="50" w16cid:durableId="121045156">
    <w:abstractNumId w:val="101"/>
  </w:num>
  <w:num w:numId="51" w16cid:durableId="1561289923">
    <w:abstractNumId w:val="95"/>
  </w:num>
  <w:num w:numId="52" w16cid:durableId="1769306741">
    <w:abstractNumId w:val="137"/>
  </w:num>
  <w:num w:numId="53" w16cid:durableId="76485141">
    <w:abstractNumId w:val="33"/>
  </w:num>
  <w:num w:numId="54" w16cid:durableId="769201495">
    <w:abstractNumId w:val="119"/>
  </w:num>
  <w:num w:numId="55" w16cid:durableId="1315833412">
    <w:abstractNumId w:val="117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9"/>
  </w:num>
  <w:num w:numId="59" w16cid:durableId="706102380">
    <w:abstractNumId w:val="168"/>
  </w:num>
  <w:num w:numId="60" w16cid:durableId="762652933">
    <w:abstractNumId w:val="39"/>
  </w:num>
  <w:num w:numId="61" w16cid:durableId="1980070124">
    <w:abstractNumId w:val="161"/>
  </w:num>
  <w:num w:numId="62" w16cid:durableId="1751384401">
    <w:abstractNumId w:val="142"/>
  </w:num>
  <w:num w:numId="63" w16cid:durableId="888758772">
    <w:abstractNumId w:val="51"/>
  </w:num>
  <w:num w:numId="64" w16cid:durableId="1428504556">
    <w:abstractNumId w:val="11"/>
  </w:num>
  <w:num w:numId="65" w16cid:durableId="1368019865">
    <w:abstractNumId w:val="179"/>
  </w:num>
  <w:num w:numId="66" w16cid:durableId="1997103089">
    <w:abstractNumId w:val="157"/>
  </w:num>
  <w:num w:numId="67" w16cid:durableId="999576817">
    <w:abstractNumId w:val="173"/>
  </w:num>
  <w:num w:numId="68" w16cid:durableId="1120220483">
    <w:abstractNumId w:val="175"/>
  </w:num>
  <w:num w:numId="69" w16cid:durableId="1251962254">
    <w:abstractNumId w:val="7"/>
  </w:num>
  <w:num w:numId="70" w16cid:durableId="1279601433">
    <w:abstractNumId w:val="90"/>
  </w:num>
  <w:num w:numId="71" w16cid:durableId="1467965383">
    <w:abstractNumId w:val="30"/>
  </w:num>
  <w:num w:numId="72" w16cid:durableId="825433357">
    <w:abstractNumId w:val="25"/>
  </w:num>
  <w:num w:numId="73" w16cid:durableId="1998805076">
    <w:abstractNumId w:val="41"/>
  </w:num>
  <w:num w:numId="74" w16cid:durableId="709107061">
    <w:abstractNumId w:val="29"/>
  </w:num>
  <w:num w:numId="75" w16cid:durableId="1231696408">
    <w:abstractNumId w:val="123"/>
  </w:num>
  <w:num w:numId="76" w16cid:durableId="722605870">
    <w:abstractNumId w:val="77"/>
  </w:num>
  <w:num w:numId="77" w16cid:durableId="129324489">
    <w:abstractNumId w:val="152"/>
  </w:num>
  <w:num w:numId="78" w16cid:durableId="983044799">
    <w:abstractNumId w:val="116"/>
  </w:num>
  <w:num w:numId="79" w16cid:durableId="1135030876">
    <w:abstractNumId w:val="9"/>
  </w:num>
  <w:num w:numId="80" w16cid:durableId="193005106">
    <w:abstractNumId w:val="82"/>
  </w:num>
  <w:num w:numId="81" w16cid:durableId="1651210118">
    <w:abstractNumId w:val="154"/>
  </w:num>
  <w:num w:numId="82" w16cid:durableId="1644046001">
    <w:abstractNumId w:val="66"/>
  </w:num>
  <w:num w:numId="83" w16cid:durableId="1825584539">
    <w:abstractNumId w:val="4"/>
  </w:num>
  <w:num w:numId="84" w16cid:durableId="1457600251">
    <w:abstractNumId w:val="102"/>
  </w:num>
  <w:num w:numId="85" w16cid:durableId="796483808">
    <w:abstractNumId w:val="106"/>
  </w:num>
  <w:num w:numId="86" w16cid:durableId="677079084">
    <w:abstractNumId w:val="74"/>
  </w:num>
  <w:num w:numId="87" w16cid:durableId="1717895316">
    <w:abstractNumId w:val="81"/>
  </w:num>
  <w:num w:numId="88" w16cid:durableId="1381586366">
    <w:abstractNumId w:val="132"/>
  </w:num>
  <w:num w:numId="89" w16cid:durableId="726415045">
    <w:abstractNumId w:val="40"/>
  </w:num>
  <w:num w:numId="90" w16cid:durableId="134374695">
    <w:abstractNumId w:val="133"/>
  </w:num>
  <w:num w:numId="91" w16cid:durableId="1333605177">
    <w:abstractNumId w:val="145"/>
  </w:num>
  <w:num w:numId="92" w16cid:durableId="707990345">
    <w:abstractNumId w:val="75"/>
  </w:num>
  <w:num w:numId="93" w16cid:durableId="1424061098">
    <w:abstractNumId w:val="19"/>
  </w:num>
  <w:num w:numId="94" w16cid:durableId="1238593463">
    <w:abstractNumId w:val="86"/>
  </w:num>
  <w:num w:numId="95" w16cid:durableId="474218565">
    <w:abstractNumId w:val="31"/>
  </w:num>
  <w:num w:numId="96" w16cid:durableId="1305157866">
    <w:abstractNumId w:val="14"/>
  </w:num>
  <w:num w:numId="97" w16cid:durableId="503668382">
    <w:abstractNumId w:val="139"/>
  </w:num>
  <w:num w:numId="98" w16cid:durableId="141898825">
    <w:abstractNumId w:val="58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9"/>
  </w:num>
  <w:num w:numId="102" w16cid:durableId="1758553305">
    <w:abstractNumId w:val="70"/>
  </w:num>
  <w:num w:numId="103" w16cid:durableId="1085539426">
    <w:abstractNumId w:val="57"/>
  </w:num>
  <w:num w:numId="104" w16cid:durableId="1402362524">
    <w:abstractNumId w:val="150"/>
  </w:num>
  <w:num w:numId="105" w16cid:durableId="83691757">
    <w:abstractNumId w:val="136"/>
  </w:num>
  <w:num w:numId="106" w16cid:durableId="1198078696">
    <w:abstractNumId w:val="37"/>
  </w:num>
  <w:num w:numId="107" w16cid:durableId="1240169118">
    <w:abstractNumId w:val="22"/>
  </w:num>
  <w:num w:numId="108" w16cid:durableId="187839146">
    <w:abstractNumId w:val="71"/>
  </w:num>
  <w:num w:numId="109" w16cid:durableId="139004657">
    <w:abstractNumId w:val="147"/>
  </w:num>
  <w:num w:numId="110" w16cid:durableId="835002621">
    <w:abstractNumId w:val="162"/>
  </w:num>
  <w:num w:numId="111" w16cid:durableId="146362569">
    <w:abstractNumId w:val="79"/>
  </w:num>
  <w:num w:numId="112" w16cid:durableId="1851218359">
    <w:abstractNumId w:val="158"/>
  </w:num>
  <w:num w:numId="113" w16cid:durableId="1189637771">
    <w:abstractNumId w:val="5"/>
  </w:num>
  <w:num w:numId="114" w16cid:durableId="1268536209">
    <w:abstractNumId w:val="56"/>
  </w:num>
  <w:num w:numId="115" w16cid:durableId="603001856">
    <w:abstractNumId w:val="65"/>
  </w:num>
  <w:num w:numId="116" w16cid:durableId="41905772">
    <w:abstractNumId w:val="12"/>
  </w:num>
  <w:num w:numId="117" w16cid:durableId="935871616">
    <w:abstractNumId w:val="32"/>
  </w:num>
  <w:num w:numId="118" w16cid:durableId="1768841013">
    <w:abstractNumId w:val="64"/>
  </w:num>
  <w:num w:numId="119" w16cid:durableId="900410431">
    <w:abstractNumId w:val="78"/>
  </w:num>
  <w:num w:numId="120" w16cid:durableId="315885655">
    <w:abstractNumId w:val="43"/>
  </w:num>
  <w:num w:numId="121" w16cid:durableId="1814448626">
    <w:abstractNumId w:val="48"/>
  </w:num>
  <w:num w:numId="122" w16cid:durableId="1097486741">
    <w:abstractNumId w:val="180"/>
  </w:num>
  <w:num w:numId="123" w16cid:durableId="1956865228">
    <w:abstractNumId w:val="3"/>
  </w:num>
  <w:num w:numId="124" w16cid:durableId="1276867340">
    <w:abstractNumId w:val="80"/>
  </w:num>
  <w:num w:numId="125" w16cid:durableId="1608587397">
    <w:abstractNumId w:val="135"/>
  </w:num>
  <w:num w:numId="126" w16cid:durableId="2131439396">
    <w:abstractNumId w:val="138"/>
  </w:num>
  <w:num w:numId="127" w16cid:durableId="1244336791">
    <w:abstractNumId w:val="45"/>
  </w:num>
  <w:num w:numId="128" w16cid:durableId="818154906">
    <w:abstractNumId w:val="140"/>
  </w:num>
  <w:num w:numId="129" w16cid:durableId="1882933843">
    <w:abstractNumId w:val="167"/>
  </w:num>
  <w:num w:numId="130" w16cid:durableId="1056199195">
    <w:abstractNumId w:val="46"/>
  </w:num>
  <w:num w:numId="131" w16cid:durableId="553470426">
    <w:abstractNumId w:val="63"/>
  </w:num>
  <w:num w:numId="132" w16cid:durableId="739669324">
    <w:abstractNumId w:val="148"/>
  </w:num>
  <w:num w:numId="133" w16cid:durableId="1342589866">
    <w:abstractNumId w:val="97"/>
  </w:num>
  <w:num w:numId="134" w16cid:durableId="805589429">
    <w:abstractNumId w:val="163"/>
  </w:num>
  <w:num w:numId="135" w16cid:durableId="1751851846">
    <w:abstractNumId w:val="73"/>
  </w:num>
  <w:num w:numId="136" w16cid:durableId="1035348142">
    <w:abstractNumId w:val="143"/>
  </w:num>
  <w:num w:numId="137" w16cid:durableId="342322650">
    <w:abstractNumId w:val="103"/>
  </w:num>
  <w:num w:numId="138" w16cid:durableId="2021813476">
    <w:abstractNumId w:val="50"/>
  </w:num>
  <w:num w:numId="139" w16cid:durableId="1260796502">
    <w:abstractNumId w:val="104"/>
  </w:num>
  <w:num w:numId="140" w16cid:durableId="211890294">
    <w:abstractNumId w:val="98"/>
  </w:num>
  <w:num w:numId="141" w16cid:durableId="1770925473">
    <w:abstractNumId w:val="130"/>
  </w:num>
  <w:num w:numId="142" w16cid:durableId="192891600">
    <w:abstractNumId w:val="20"/>
  </w:num>
  <w:num w:numId="143" w16cid:durableId="675690864">
    <w:abstractNumId w:val="113"/>
  </w:num>
  <w:num w:numId="144" w16cid:durableId="1495105408">
    <w:abstractNumId w:val="76"/>
  </w:num>
  <w:num w:numId="145" w16cid:durableId="170608313">
    <w:abstractNumId w:val="6"/>
  </w:num>
  <w:num w:numId="146" w16cid:durableId="388725436">
    <w:abstractNumId w:val="151"/>
  </w:num>
  <w:num w:numId="147" w16cid:durableId="1916433450">
    <w:abstractNumId w:val="121"/>
  </w:num>
  <w:num w:numId="148" w16cid:durableId="3675684">
    <w:abstractNumId w:val="93"/>
  </w:num>
  <w:num w:numId="149" w16cid:durableId="1134447677">
    <w:abstractNumId w:val="109"/>
  </w:num>
  <w:num w:numId="150" w16cid:durableId="269163122">
    <w:abstractNumId w:val="100"/>
  </w:num>
  <w:num w:numId="151" w16cid:durableId="596711321">
    <w:abstractNumId w:val="120"/>
  </w:num>
  <w:num w:numId="152" w16cid:durableId="574584926">
    <w:abstractNumId w:val="17"/>
  </w:num>
  <w:num w:numId="153" w16cid:durableId="2109736526">
    <w:abstractNumId w:val="170"/>
  </w:num>
  <w:num w:numId="154" w16cid:durableId="1291741062">
    <w:abstractNumId w:val="181"/>
  </w:num>
  <w:num w:numId="155" w16cid:durableId="1206135565">
    <w:abstractNumId w:val="128"/>
  </w:num>
  <w:num w:numId="156" w16cid:durableId="154761118">
    <w:abstractNumId w:val="96"/>
  </w:num>
  <w:num w:numId="157" w16cid:durableId="6100150">
    <w:abstractNumId w:val="59"/>
  </w:num>
  <w:num w:numId="158" w16cid:durableId="1250579651">
    <w:abstractNumId w:val="68"/>
  </w:num>
  <w:num w:numId="159" w16cid:durableId="356202047">
    <w:abstractNumId w:val="26"/>
  </w:num>
  <w:num w:numId="160" w16cid:durableId="884827526">
    <w:abstractNumId w:val="127"/>
  </w:num>
  <w:num w:numId="161" w16cid:durableId="34549794">
    <w:abstractNumId w:val="44"/>
  </w:num>
  <w:num w:numId="162" w16cid:durableId="1224100997">
    <w:abstractNumId w:val="85"/>
  </w:num>
  <w:num w:numId="163" w16cid:durableId="940256393">
    <w:abstractNumId w:val="141"/>
  </w:num>
  <w:num w:numId="164" w16cid:durableId="1318457270">
    <w:abstractNumId w:val="125"/>
  </w:num>
  <w:num w:numId="165" w16cid:durableId="1415737338">
    <w:abstractNumId w:val="92"/>
  </w:num>
  <w:num w:numId="166" w16cid:durableId="1779907670">
    <w:abstractNumId w:val="34"/>
  </w:num>
  <w:num w:numId="167" w16cid:durableId="1723602264">
    <w:abstractNumId w:val="155"/>
  </w:num>
  <w:num w:numId="168" w16cid:durableId="1451587149">
    <w:abstractNumId w:val="24"/>
  </w:num>
  <w:num w:numId="169" w16cid:durableId="723872476">
    <w:abstractNumId w:val="108"/>
  </w:num>
  <w:num w:numId="170" w16cid:durableId="372077083">
    <w:abstractNumId w:val="122"/>
  </w:num>
  <w:num w:numId="171" w16cid:durableId="62607842">
    <w:abstractNumId w:val="111"/>
  </w:num>
  <w:num w:numId="172" w16cid:durableId="915626482">
    <w:abstractNumId w:val="13"/>
  </w:num>
  <w:num w:numId="173" w16cid:durableId="748817343">
    <w:abstractNumId w:val="149"/>
  </w:num>
  <w:num w:numId="174" w16cid:durableId="549807254">
    <w:abstractNumId w:val="153"/>
  </w:num>
  <w:num w:numId="175" w16cid:durableId="773088219">
    <w:abstractNumId w:val="42"/>
  </w:num>
  <w:num w:numId="176" w16cid:durableId="1950382925">
    <w:abstractNumId w:val="35"/>
  </w:num>
  <w:num w:numId="177" w16cid:durableId="22903637">
    <w:abstractNumId w:val="27"/>
  </w:num>
  <w:num w:numId="178" w16cid:durableId="900559655">
    <w:abstractNumId w:val="110"/>
  </w:num>
  <w:num w:numId="179" w16cid:durableId="2080010896">
    <w:abstractNumId w:val="164"/>
  </w:num>
  <w:num w:numId="180" w16cid:durableId="161244788">
    <w:abstractNumId w:val="134"/>
  </w:num>
  <w:num w:numId="181" w16cid:durableId="1810902308">
    <w:abstractNumId w:val="87"/>
  </w:num>
  <w:num w:numId="182" w16cid:durableId="4214006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20E89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678E9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02F35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2024-10-21T07:08:00Z</cp:lastPrinted>
  <dcterms:created xsi:type="dcterms:W3CDTF">2025-09-21T07:51:00Z</dcterms:created>
  <dcterms:modified xsi:type="dcterms:W3CDTF">2025-09-21T07:51:00Z</dcterms:modified>
</cp:coreProperties>
</file>