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5EC9A" w14:textId="77777777" w:rsidR="00D016DC" w:rsidRDefault="00D016DC" w:rsidP="00D016DC">
      <w:pPr>
        <w:pStyle w:val="Titre1"/>
      </w:pPr>
      <w:r w:rsidRPr="00D016DC">
        <w:t>Normes IFRS : Définition et Enjeux</w:t>
      </w:r>
      <w:r>
        <w:t xml:space="preserve"> </w:t>
      </w:r>
    </w:p>
    <w:p w14:paraId="3157FD3E" w14:textId="1B244C6A" w:rsidR="004C7BF0" w:rsidRDefault="00D016DC" w:rsidP="00620090">
      <w:r>
        <w:rPr>
          <w:b/>
          <w:bCs/>
        </w:rPr>
        <w:t xml:space="preserve">(source : </w:t>
      </w:r>
      <w:r w:rsidRPr="00D016DC">
        <w:t>https://formation.lefebvre-dalloz.fr/dossier/consolidation/normes-ifrs</w:t>
      </w:r>
      <w:r>
        <w:t>)</w:t>
      </w:r>
    </w:p>
    <w:p w14:paraId="1DDBA20F" w14:textId="77777777" w:rsidR="00D016DC" w:rsidRPr="00D016DC" w:rsidRDefault="00D016DC" w:rsidP="00D016DC">
      <w:r w:rsidRPr="00D016DC">
        <w:t>Les normes IFRS (International Financial Reporting Standards) constituent un ensemble de règles comptables internationales qui assurent une présentation homogène et transparente des états financiers des entreprises à l’échelle mondiale. Conçues pour répondre aux besoins des investisseurs et des autres parties prenantes, ces normes visent à améliorer la qualité, la comparabilité et la fiabilité des informations financières.</w:t>
      </w:r>
    </w:p>
    <w:p w14:paraId="0DE4E2CF" w14:textId="77777777" w:rsidR="00D016DC" w:rsidRPr="00D016DC" w:rsidRDefault="00D016DC" w:rsidP="00D016DC">
      <w:r w:rsidRPr="00D016DC">
        <w:pict w14:anchorId="4C3B9F86">
          <v:rect id="_x0000_i1055" style="width:0;height:1.5pt" o:hralign="center" o:hrstd="t" o:hr="t" fillcolor="#a0a0a0" stroked="f"/>
        </w:pict>
      </w:r>
    </w:p>
    <w:p w14:paraId="20DDCC02" w14:textId="77777777" w:rsidR="00D016DC" w:rsidRPr="00D016DC" w:rsidRDefault="00D016DC" w:rsidP="00D016DC">
      <w:pPr>
        <w:pStyle w:val="Titre1"/>
      </w:pPr>
      <w:r w:rsidRPr="00D016DC">
        <w:t>Qu’est-ce que les normes IFRS ?</w:t>
      </w:r>
    </w:p>
    <w:p w14:paraId="77E83407" w14:textId="77777777" w:rsidR="00D016DC" w:rsidRPr="00D016DC" w:rsidRDefault="00D016DC" w:rsidP="00D016DC">
      <w:pPr>
        <w:rPr>
          <w:b/>
          <w:bCs/>
        </w:rPr>
      </w:pPr>
      <w:r w:rsidRPr="00D016DC">
        <w:rPr>
          <w:b/>
          <w:bCs/>
        </w:rPr>
        <w:t>Définition</w:t>
      </w:r>
    </w:p>
    <w:p w14:paraId="2220DF70" w14:textId="77777777" w:rsidR="00D016DC" w:rsidRPr="00D016DC" w:rsidRDefault="00D016DC" w:rsidP="00D016DC">
      <w:r w:rsidRPr="00D016DC">
        <w:t>Les normes IFRS, développées par l’</w:t>
      </w:r>
      <w:r w:rsidRPr="00D016DC">
        <w:rPr>
          <w:b/>
          <w:bCs/>
        </w:rPr>
        <w:t>International Accounting Standards Board (IASB)</w:t>
      </w:r>
      <w:r w:rsidRPr="00D016DC">
        <w:t>, remplacent progressivement les normes IAS (International Accounting Standards), élaborées par l’</w:t>
      </w:r>
      <w:r w:rsidRPr="00D016DC">
        <w:rPr>
          <w:b/>
          <w:bCs/>
        </w:rPr>
        <w:t>International Accounting Standards Committee (IASC)</w:t>
      </w:r>
      <w:r w:rsidRPr="00D016DC">
        <w:t xml:space="preserve"> jusqu’en 2001. Leur objectif est de fournir un cadre comptable uniforme pour les entreprises opérant dans plusieurs pays.</w:t>
      </w:r>
    </w:p>
    <w:p w14:paraId="62289EEE" w14:textId="77777777" w:rsidR="00D016DC" w:rsidRPr="00D016DC" w:rsidRDefault="00D016DC" w:rsidP="00D016DC">
      <w:pPr>
        <w:rPr>
          <w:b/>
          <w:bCs/>
        </w:rPr>
      </w:pPr>
      <w:r w:rsidRPr="00D016DC">
        <w:rPr>
          <w:b/>
          <w:bCs/>
        </w:rPr>
        <w:t>Les principes fondamentaux des normes IFRS</w:t>
      </w:r>
    </w:p>
    <w:p w14:paraId="4B660918" w14:textId="77777777" w:rsidR="00D016DC" w:rsidRPr="00D016DC" w:rsidRDefault="00D016DC" w:rsidP="00D016DC">
      <w:pPr>
        <w:numPr>
          <w:ilvl w:val="0"/>
          <w:numId w:val="10"/>
        </w:numPr>
      </w:pPr>
      <w:r w:rsidRPr="00D016DC">
        <w:rPr>
          <w:b/>
          <w:bCs/>
        </w:rPr>
        <w:t>Primauté de la substance sur la forme</w:t>
      </w:r>
      <w:r w:rsidRPr="00D016DC">
        <w:t xml:space="preserve"> : Les transactions doivent être enregistrées en fonction de leur nature économique réelle plutôt que leur forme juridique.</w:t>
      </w:r>
    </w:p>
    <w:p w14:paraId="2477C87E" w14:textId="77777777" w:rsidR="00D016DC" w:rsidRPr="00D016DC" w:rsidRDefault="00D016DC" w:rsidP="00D016DC">
      <w:pPr>
        <w:numPr>
          <w:ilvl w:val="0"/>
          <w:numId w:val="10"/>
        </w:numPr>
      </w:pPr>
      <w:r w:rsidRPr="00D016DC">
        <w:rPr>
          <w:b/>
          <w:bCs/>
        </w:rPr>
        <w:t>Approche basée sur la transparence</w:t>
      </w:r>
      <w:r w:rsidRPr="00D016DC">
        <w:t xml:space="preserve"> : Les entreprises doivent fournir des informations détaillées et précises sur leurs activités et leurs résultats financiers.</w:t>
      </w:r>
    </w:p>
    <w:p w14:paraId="22535D65" w14:textId="77777777" w:rsidR="00D016DC" w:rsidRPr="00D016DC" w:rsidRDefault="00D016DC" w:rsidP="00D016DC">
      <w:pPr>
        <w:numPr>
          <w:ilvl w:val="0"/>
          <w:numId w:val="10"/>
        </w:numPr>
      </w:pPr>
      <w:r w:rsidRPr="00D016DC">
        <w:rPr>
          <w:b/>
          <w:bCs/>
        </w:rPr>
        <w:t>Comparabilité internationale</w:t>
      </w:r>
      <w:r w:rsidRPr="00D016DC">
        <w:t xml:space="preserve"> : Les IFRS facilitent l’analyse des performances des entreprises au niveau global, en réduisant les divergences entre différents systèmes comptables nationaux.</w:t>
      </w:r>
    </w:p>
    <w:p w14:paraId="7332BA70" w14:textId="77777777" w:rsidR="00D016DC" w:rsidRPr="00D016DC" w:rsidRDefault="00D016DC" w:rsidP="00D016DC">
      <w:r w:rsidRPr="00D016DC">
        <w:pict w14:anchorId="2663ABFA">
          <v:rect id="_x0000_i1056" style="width:0;height:1.5pt" o:hralign="center" o:hrstd="t" o:hr="t" fillcolor="#a0a0a0" stroked="f"/>
        </w:pict>
      </w:r>
    </w:p>
    <w:p w14:paraId="7C275737" w14:textId="77777777" w:rsidR="00D016DC" w:rsidRPr="00D016DC" w:rsidRDefault="00D016DC" w:rsidP="00D016DC">
      <w:pPr>
        <w:pStyle w:val="Titre1"/>
      </w:pPr>
      <w:r w:rsidRPr="00D016DC">
        <w:t>Les enjeux pour les entreprises</w:t>
      </w:r>
    </w:p>
    <w:p w14:paraId="0C49D4FE" w14:textId="77777777" w:rsidR="00D016DC" w:rsidRPr="00D016DC" w:rsidRDefault="00D016DC" w:rsidP="00D016DC">
      <w:pPr>
        <w:rPr>
          <w:b/>
          <w:bCs/>
        </w:rPr>
      </w:pPr>
      <w:r w:rsidRPr="00D016DC">
        <w:rPr>
          <w:b/>
          <w:bCs/>
        </w:rPr>
        <w:t>1. Avantages liés à l’adoption des normes IFRS</w:t>
      </w:r>
    </w:p>
    <w:p w14:paraId="077CB911" w14:textId="77777777" w:rsidR="00D016DC" w:rsidRPr="00D016DC" w:rsidRDefault="00D016DC" w:rsidP="00D016DC">
      <w:pPr>
        <w:numPr>
          <w:ilvl w:val="0"/>
          <w:numId w:val="11"/>
        </w:numPr>
      </w:pPr>
      <w:r w:rsidRPr="00D016DC">
        <w:rPr>
          <w:b/>
          <w:bCs/>
        </w:rPr>
        <w:t>Transparence accrue</w:t>
      </w:r>
      <w:r w:rsidRPr="00D016DC">
        <w:t xml:space="preserve"> : Une information financière standardisée renforce la confiance des investisseurs, des régulateurs et des partenaires commerciaux.</w:t>
      </w:r>
    </w:p>
    <w:p w14:paraId="56D47BC5" w14:textId="77777777" w:rsidR="00D016DC" w:rsidRPr="00D016DC" w:rsidRDefault="00D016DC" w:rsidP="00D016DC">
      <w:pPr>
        <w:numPr>
          <w:ilvl w:val="0"/>
          <w:numId w:val="11"/>
        </w:numPr>
      </w:pPr>
      <w:r w:rsidRPr="00D016DC">
        <w:rPr>
          <w:b/>
          <w:bCs/>
        </w:rPr>
        <w:t>Accès aux marchés financiers internationaux</w:t>
      </w:r>
      <w:r w:rsidRPr="00D016DC">
        <w:t xml:space="preserve"> : Les entreprises conformes aux IFRS bénéficient d’une meilleure attractivité auprès des investisseurs étrangers.</w:t>
      </w:r>
    </w:p>
    <w:p w14:paraId="309D100E" w14:textId="77777777" w:rsidR="00D016DC" w:rsidRPr="00D016DC" w:rsidRDefault="00D016DC" w:rsidP="00D016DC">
      <w:pPr>
        <w:numPr>
          <w:ilvl w:val="0"/>
          <w:numId w:val="11"/>
        </w:numPr>
      </w:pPr>
      <w:r w:rsidRPr="00D016DC">
        <w:rPr>
          <w:b/>
          <w:bCs/>
        </w:rPr>
        <w:t>Amélioration de la gestion interne</w:t>
      </w:r>
      <w:r w:rsidRPr="00D016DC">
        <w:t xml:space="preserve"> : Les IFRS permettent une meilleure évaluation des actifs, passifs et performances, ce qui facilite la prise de décisions stratégiques.</w:t>
      </w:r>
    </w:p>
    <w:p w14:paraId="147DBA9C" w14:textId="77777777" w:rsidR="00D016DC" w:rsidRPr="00D016DC" w:rsidRDefault="00D016DC" w:rsidP="00D016DC">
      <w:pPr>
        <w:rPr>
          <w:b/>
          <w:bCs/>
        </w:rPr>
      </w:pPr>
      <w:r w:rsidRPr="00D016DC">
        <w:rPr>
          <w:b/>
          <w:bCs/>
        </w:rPr>
        <w:t>2. Défis de mise en œuvre</w:t>
      </w:r>
    </w:p>
    <w:p w14:paraId="366CBE20" w14:textId="77777777" w:rsidR="00D016DC" w:rsidRPr="00D016DC" w:rsidRDefault="00D016DC" w:rsidP="00D016DC">
      <w:pPr>
        <w:numPr>
          <w:ilvl w:val="0"/>
          <w:numId w:val="12"/>
        </w:numPr>
      </w:pPr>
      <w:r w:rsidRPr="00D016DC">
        <w:rPr>
          <w:b/>
          <w:bCs/>
        </w:rPr>
        <w:t>Complexité technique</w:t>
      </w:r>
      <w:r w:rsidRPr="00D016DC">
        <w:t xml:space="preserve"> : La transition vers les IFRS nécessite souvent une refonte complète des processus comptables et financiers.</w:t>
      </w:r>
    </w:p>
    <w:p w14:paraId="04C6A819" w14:textId="77777777" w:rsidR="00D016DC" w:rsidRPr="00D016DC" w:rsidRDefault="00D016DC" w:rsidP="00D016DC">
      <w:pPr>
        <w:numPr>
          <w:ilvl w:val="0"/>
          <w:numId w:val="12"/>
        </w:numPr>
      </w:pPr>
      <w:r w:rsidRPr="00D016DC">
        <w:rPr>
          <w:b/>
          <w:bCs/>
        </w:rPr>
        <w:t>Coût d’adoption élevé</w:t>
      </w:r>
      <w:r w:rsidRPr="00D016DC">
        <w:t xml:space="preserve"> : Les entreprises doivent investir dans la formation des équipes, l’adaptation des systèmes informatiques et l’accompagnement par des experts.</w:t>
      </w:r>
    </w:p>
    <w:p w14:paraId="542B6BB9" w14:textId="77777777" w:rsidR="00D016DC" w:rsidRPr="00D016DC" w:rsidRDefault="00D016DC" w:rsidP="00D016DC">
      <w:pPr>
        <w:numPr>
          <w:ilvl w:val="0"/>
          <w:numId w:val="12"/>
        </w:numPr>
      </w:pPr>
      <w:r w:rsidRPr="00D016DC">
        <w:rPr>
          <w:b/>
          <w:bCs/>
        </w:rPr>
        <w:t>Impact sur les résultats financiers</w:t>
      </w:r>
      <w:r w:rsidRPr="00D016DC">
        <w:t xml:space="preserve"> : Certaines normes, comme celles relatives aux instruments financiers ou aux contrats de location, peuvent entraîner des fluctuations significatives dans les états financiers.</w:t>
      </w:r>
    </w:p>
    <w:p w14:paraId="20D06B3B" w14:textId="77777777" w:rsidR="00D016DC" w:rsidRPr="00D016DC" w:rsidRDefault="00D016DC" w:rsidP="00D016DC">
      <w:r w:rsidRPr="00D016DC">
        <w:pict w14:anchorId="58C9568F">
          <v:rect id="_x0000_i1057" style="width:0;height:1.5pt" o:hralign="center" o:hrstd="t" o:hr="t" fillcolor="#a0a0a0" stroked="f"/>
        </w:pict>
      </w:r>
    </w:p>
    <w:p w14:paraId="76AE73CC" w14:textId="77777777" w:rsidR="00D016DC" w:rsidRPr="00D016DC" w:rsidRDefault="00D016DC" w:rsidP="00D016DC">
      <w:pPr>
        <w:pStyle w:val="Titre1"/>
      </w:pPr>
      <w:r w:rsidRPr="00D016DC">
        <w:lastRenderedPageBreak/>
        <w:t>Différences entre les normes IAS et IFRS</w:t>
      </w:r>
    </w:p>
    <w:p w14:paraId="1D9D503F" w14:textId="77777777" w:rsidR="00D016DC" w:rsidRPr="00D016DC" w:rsidRDefault="00D016DC" w:rsidP="00D016DC">
      <w:pPr>
        <w:rPr>
          <w:b/>
          <w:bCs/>
        </w:rPr>
      </w:pPr>
      <w:r w:rsidRPr="00D016DC">
        <w:rPr>
          <w:b/>
          <w:bCs/>
        </w:rPr>
        <w:t>IAS : Les normes historiques</w:t>
      </w:r>
    </w:p>
    <w:p w14:paraId="371C5389" w14:textId="77777777" w:rsidR="00D016DC" w:rsidRPr="00D016DC" w:rsidRDefault="00D016DC" w:rsidP="00D016DC">
      <w:r w:rsidRPr="00D016DC">
        <w:t>Les normes IAS étaient principalement orientées vers un cadre comptable généraliste. Elles ont été utilisées jusqu’en 2001, avant d’être intégrées ou remplacées par les IFRS.</w:t>
      </w:r>
    </w:p>
    <w:p w14:paraId="54BD6FA8" w14:textId="77777777" w:rsidR="00D016DC" w:rsidRPr="00D016DC" w:rsidRDefault="00D016DC" w:rsidP="00D016DC">
      <w:pPr>
        <w:rPr>
          <w:b/>
          <w:bCs/>
        </w:rPr>
      </w:pPr>
      <w:r w:rsidRPr="00D016DC">
        <w:rPr>
          <w:b/>
          <w:bCs/>
        </w:rPr>
        <w:t>IFRS : Les normes modernes</w:t>
      </w:r>
    </w:p>
    <w:p w14:paraId="0271656A" w14:textId="77777777" w:rsidR="00D016DC" w:rsidRPr="00D016DC" w:rsidRDefault="00D016DC" w:rsidP="00D016DC">
      <w:r w:rsidRPr="00D016DC">
        <w:t>Les IFRS introduisent une approche plus détaillée et spécifique, avec des règles adaptées aux évolutions économiques modernes. Par exemple :</w:t>
      </w:r>
    </w:p>
    <w:p w14:paraId="534C3DC4" w14:textId="77777777" w:rsidR="00D016DC" w:rsidRPr="00D016DC" w:rsidRDefault="00D016DC" w:rsidP="00D016DC">
      <w:pPr>
        <w:numPr>
          <w:ilvl w:val="0"/>
          <w:numId w:val="13"/>
        </w:numPr>
      </w:pPr>
      <w:r w:rsidRPr="00D016DC">
        <w:rPr>
          <w:b/>
          <w:bCs/>
        </w:rPr>
        <w:t>IFRS 9 (Instruments financiers)</w:t>
      </w:r>
      <w:r w:rsidRPr="00D016DC">
        <w:t xml:space="preserve"> : Évaluation et comptabilisation des actifs et passifs financiers.</w:t>
      </w:r>
    </w:p>
    <w:p w14:paraId="2EEA7321" w14:textId="77777777" w:rsidR="00D016DC" w:rsidRPr="00D016DC" w:rsidRDefault="00D016DC" w:rsidP="00D016DC">
      <w:pPr>
        <w:numPr>
          <w:ilvl w:val="0"/>
          <w:numId w:val="13"/>
        </w:numPr>
      </w:pPr>
      <w:r w:rsidRPr="00D016DC">
        <w:rPr>
          <w:b/>
          <w:bCs/>
        </w:rPr>
        <w:t>IFRS 16 (Contrats de location)</w:t>
      </w:r>
      <w:r w:rsidRPr="00D016DC">
        <w:t xml:space="preserve"> : Reconnaissance des contrats de location dans les bilans.</w:t>
      </w:r>
    </w:p>
    <w:p w14:paraId="734F8B2F" w14:textId="77777777" w:rsidR="00D016DC" w:rsidRPr="00D016DC" w:rsidRDefault="00D016DC" w:rsidP="00D016DC">
      <w:pPr>
        <w:numPr>
          <w:ilvl w:val="0"/>
          <w:numId w:val="13"/>
        </w:numPr>
      </w:pPr>
      <w:r w:rsidRPr="00D016DC">
        <w:rPr>
          <w:b/>
          <w:bCs/>
        </w:rPr>
        <w:t>IFRS 15 (Chiffre d’affaires des contrats clients)</w:t>
      </w:r>
      <w:r w:rsidRPr="00D016DC">
        <w:t xml:space="preserve"> : Uniformisation des méthodes de reconnaissance des revenus.</w:t>
      </w:r>
    </w:p>
    <w:p w14:paraId="4D9B6DE1" w14:textId="77777777" w:rsidR="00D016DC" w:rsidRPr="00D016DC" w:rsidRDefault="00D016DC" w:rsidP="00D016DC">
      <w:r w:rsidRPr="00D016DC">
        <w:pict w14:anchorId="3F0A8364">
          <v:rect id="_x0000_i1058" style="width:0;height:1.5pt" o:hralign="center" o:hrstd="t" o:hr="t" fillcolor="#a0a0a0" stroked="f"/>
        </w:pict>
      </w:r>
    </w:p>
    <w:p w14:paraId="5ED3287A" w14:textId="77777777" w:rsidR="00D016DC" w:rsidRPr="00D016DC" w:rsidRDefault="00D016DC" w:rsidP="00D016DC">
      <w:pPr>
        <w:pStyle w:val="Titre1"/>
      </w:pPr>
      <w:r w:rsidRPr="00D016DC">
        <w:t>Application des normes IFRS dans le monde</w:t>
      </w:r>
    </w:p>
    <w:p w14:paraId="65C4C50E" w14:textId="77777777" w:rsidR="00D016DC" w:rsidRPr="00D016DC" w:rsidRDefault="00D016DC" w:rsidP="00D016DC">
      <w:pPr>
        <w:rPr>
          <w:b/>
          <w:bCs/>
        </w:rPr>
      </w:pPr>
      <w:r w:rsidRPr="00D016DC">
        <w:rPr>
          <w:b/>
          <w:bCs/>
        </w:rPr>
        <w:t>Étendue géographique</w:t>
      </w:r>
    </w:p>
    <w:p w14:paraId="48C8AA23" w14:textId="77777777" w:rsidR="00D016DC" w:rsidRPr="00D016DC" w:rsidRDefault="00D016DC" w:rsidP="00D016DC">
      <w:pPr>
        <w:numPr>
          <w:ilvl w:val="0"/>
          <w:numId w:val="14"/>
        </w:numPr>
      </w:pPr>
      <w:r w:rsidRPr="00D016DC">
        <w:rPr>
          <w:b/>
          <w:bCs/>
        </w:rPr>
        <w:t>Europe</w:t>
      </w:r>
      <w:r w:rsidRPr="00D016DC">
        <w:t xml:space="preserve"> : Les IFRS sont obligatoires pour les entreprises cotées dans l’Union européenne depuis 2005.</w:t>
      </w:r>
    </w:p>
    <w:p w14:paraId="5533EAD0" w14:textId="77777777" w:rsidR="00D016DC" w:rsidRPr="00D016DC" w:rsidRDefault="00D016DC" w:rsidP="00D016DC">
      <w:pPr>
        <w:numPr>
          <w:ilvl w:val="0"/>
          <w:numId w:val="14"/>
        </w:numPr>
      </w:pPr>
      <w:r w:rsidRPr="00D016DC">
        <w:rPr>
          <w:b/>
          <w:bCs/>
        </w:rPr>
        <w:t>Asie et Amérique</w:t>
      </w:r>
      <w:r w:rsidRPr="00D016DC">
        <w:t xml:space="preserve"> : De nombreux pays les ont adoptées totalement ou partiellement (ex. Japon, Canada).</w:t>
      </w:r>
    </w:p>
    <w:p w14:paraId="43C40F32" w14:textId="77777777" w:rsidR="00D016DC" w:rsidRPr="00D016DC" w:rsidRDefault="00D016DC" w:rsidP="00D016DC">
      <w:pPr>
        <w:numPr>
          <w:ilvl w:val="0"/>
          <w:numId w:val="14"/>
        </w:numPr>
      </w:pPr>
      <w:r w:rsidRPr="00D016DC">
        <w:rPr>
          <w:b/>
          <w:bCs/>
        </w:rPr>
        <w:t>États-Unis</w:t>
      </w:r>
      <w:r w:rsidRPr="00D016DC">
        <w:t xml:space="preserve"> : Bien que les US GAAP soient prédominants, une convergence progressive avec les IFRS est encouragée.</w:t>
      </w:r>
    </w:p>
    <w:p w14:paraId="5387BEA4" w14:textId="77777777" w:rsidR="00D016DC" w:rsidRPr="00D016DC" w:rsidRDefault="00D016DC" w:rsidP="00D016DC">
      <w:pPr>
        <w:rPr>
          <w:b/>
          <w:bCs/>
        </w:rPr>
      </w:pPr>
      <w:r w:rsidRPr="00D016DC">
        <w:rPr>
          <w:b/>
          <w:bCs/>
        </w:rPr>
        <w:t>Secteurs concernés</w:t>
      </w:r>
    </w:p>
    <w:p w14:paraId="19A96C60" w14:textId="77777777" w:rsidR="00D016DC" w:rsidRPr="00D016DC" w:rsidRDefault="00D016DC" w:rsidP="00D016DC">
      <w:r w:rsidRPr="00D016DC">
        <w:t>Les IFRS sont principalement utilisées par :</w:t>
      </w:r>
    </w:p>
    <w:p w14:paraId="13AF6DB4" w14:textId="77777777" w:rsidR="00D016DC" w:rsidRPr="00D016DC" w:rsidRDefault="00D016DC" w:rsidP="00D016DC">
      <w:pPr>
        <w:numPr>
          <w:ilvl w:val="0"/>
          <w:numId w:val="15"/>
        </w:numPr>
      </w:pPr>
      <w:r w:rsidRPr="00D016DC">
        <w:t>Les entreprises cotées en bourse.</w:t>
      </w:r>
    </w:p>
    <w:p w14:paraId="4C10492A" w14:textId="77777777" w:rsidR="00D016DC" w:rsidRPr="00D016DC" w:rsidRDefault="00D016DC" w:rsidP="00D016DC">
      <w:pPr>
        <w:numPr>
          <w:ilvl w:val="0"/>
          <w:numId w:val="15"/>
        </w:numPr>
      </w:pPr>
      <w:r w:rsidRPr="00D016DC">
        <w:t>Les groupes internationaux.</w:t>
      </w:r>
    </w:p>
    <w:p w14:paraId="27D3A1A2" w14:textId="77777777" w:rsidR="00D016DC" w:rsidRPr="00D016DC" w:rsidRDefault="00D016DC" w:rsidP="00D016DC">
      <w:pPr>
        <w:numPr>
          <w:ilvl w:val="0"/>
          <w:numId w:val="15"/>
        </w:numPr>
      </w:pPr>
      <w:r w:rsidRPr="00D016DC">
        <w:t>Certaines entités publiques, selon les réglementations locales.</w:t>
      </w:r>
    </w:p>
    <w:p w14:paraId="7CEC815D" w14:textId="77777777" w:rsidR="00D016DC" w:rsidRPr="00D016DC" w:rsidRDefault="00D016DC" w:rsidP="00D016DC">
      <w:r w:rsidRPr="00D016DC">
        <w:pict w14:anchorId="115F6C32">
          <v:rect id="_x0000_i1059" style="width:0;height:1.5pt" o:hralign="center" o:hrstd="t" o:hr="t" fillcolor="#a0a0a0" stroked="f"/>
        </w:pict>
      </w:r>
    </w:p>
    <w:p w14:paraId="182BD1DC" w14:textId="77777777" w:rsidR="00D016DC" w:rsidRPr="00D016DC" w:rsidRDefault="00D016DC" w:rsidP="00D016DC">
      <w:pPr>
        <w:pStyle w:val="Titre1"/>
      </w:pPr>
      <w:r w:rsidRPr="00D016DC">
        <w:t>Normes IFRS et transparence financière</w:t>
      </w:r>
    </w:p>
    <w:p w14:paraId="641EAF2D" w14:textId="77777777" w:rsidR="00D016DC" w:rsidRPr="00D016DC" w:rsidRDefault="00D016DC" w:rsidP="00D016DC">
      <w:pPr>
        <w:rPr>
          <w:b/>
          <w:bCs/>
        </w:rPr>
      </w:pPr>
      <w:r w:rsidRPr="00D016DC">
        <w:rPr>
          <w:b/>
          <w:bCs/>
        </w:rPr>
        <w:t>Impact sur la communication financière</w:t>
      </w:r>
    </w:p>
    <w:p w14:paraId="08332B6A" w14:textId="77777777" w:rsidR="00D016DC" w:rsidRPr="00D016DC" w:rsidRDefault="00D016DC" w:rsidP="00D016DC">
      <w:r w:rsidRPr="00D016DC">
        <w:t>Les IFRS favorisent une communication financière plus claire et cohérente. Elles exigent des informations précises sur :</w:t>
      </w:r>
    </w:p>
    <w:p w14:paraId="2E1541B9" w14:textId="77777777" w:rsidR="00D016DC" w:rsidRPr="00D016DC" w:rsidRDefault="00D016DC" w:rsidP="00D016DC">
      <w:pPr>
        <w:numPr>
          <w:ilvl w:val="0"/>
          <w:numId w:val="16"/>
        </w:numPr>
      </w:pPr>
      <w:r w:rsidRPr="00D016DC">
        <w:t>Les risques liés aux activités.</w:t>
      </w:r>
    </w:p>
    <w:p w14:paraId="0087233D" w14:textId="77777777" w:rsidR="00D016DC" w:rsidRPr="00D016DC" w:rsidRDefault="00D016DC" w:rsidP="00D016DC">
      <w:pPr>
        <w:numPr>
          <w:ilvl w:val="0"/>
          <w:numId w:val="16"/>
        </w:numPr>
      </w:pPr>
      <w:r w:rsidRPr="00D016DC">
        <w:t>Les hypothèses utilisées pour l’évaluation des actifs et passifs.</w:t>
      </w:r>
    </w:p>
    <w:p w14:paraId="5B5F8425" w14:textId="497EB7DD" w:rsidR="00D016DC" w:rsidRPr="00D016DC" w:rsidRDefault="00D016DC" w:rsidP="00D016DC">
      <w:pPr>
        <w:numPr>
          <w:ilvl w:val="0"/>
          <w:numId w:val="16"/>
        </w:numPr>
      </w:pPr>
      <w:r w:rsidRPr="00D016DC">
        <w:t xml:space="preserve">Les engagements </w:t>
      </w:r>
      <w:r w:rsidRPr="00D016DC">
        <w:t>hors bilan</w:t>
      </w:r>
      <w:r w:rsidRPr="00D016DC">
        <w:t>.</w:t>
      </w:r>
    </w:p>
    <w:p w14:paraId="7A5D66FE" w14:textId="77777777" w:rsidR="00D016DC" w:rsidRPr="00D016DC" w:rsidRDefault="00D016DC" w:rsidP="00D016DC">
      <w:pPr>
        <w:rPr>
          <w:b/>
          <w:bCs/>
        </w:rPr>
      </w:pPr>
      <w:r w:rsidRPr="00D016DC">
        <w:rPr>
          <w:b/>
          <w:bCs/>
        </w:rPr>
        <w:t>Renforcement de la confiance des investisseurs</w:t>
      </w:r>
    </w:p>
    <w:p w14:paraId="639330E4" w14:textId="2B9D0D2F" w:rsidR="00D016DC" w:rsidRPr="00620090" w:rsidRDefault="00D016DC" w:rsidP="00620090">
      <w:r w:rsidRPr="00D016DC">
        <w:t>En imposant une présentation standardisée, les IFRS permettent aux investisseurs de comparer facilement les performances des entreprises, quel que soit leur pays d’origine. Cela renforce la confiance et encourage les investissements transfrontaliers.</w:t>
      </w:r>
    </w:p>
    <w:sectPr w:rsidR="00D016DC" w:rsidRPr="00620090" w:rsidSect="004D247E">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FDA2B" w14:textId="77777777" w:rsidR="00FC180F" w:rsidRDefault="00FC180F" w:rsidP="004C7BF0">
      <w:r>
        <w:separator/>
      </w:r>
    </w:p>
  </w:endnote>
  <w:endnote w:type="continuationSeparator" w:id="0">
    <w:p w14:paraId="727E0375" w14:textId="77777777" w:rsidR="00FC180F" w:rsidRDefault="00FC180F" w:rsidP="004C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620090">
    <w:pPr>
      <w:pStyle w:val="Pieddepage"/>
      <w:tabs>
        <w:tab w:val="clear" w:pos="9072"/>
        <w:tab w:val="right" w:pos="1020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609E0" w14:textId="77777777" w:rsidR="00FC180F" w:rsidRDefault="00FC180F" w:rsidP="004C7BF0">
      <w:r>
        <w:separator/>
      </w:r>
    </w:p>
  </w:footnote>
  <w:footnote w:type="continuationSeparator" w:id="0">
    <w:p w14:paraId="6F9A5ACF" w14:textId="77777777" w:rsidR="00FC180F" w:rsidRDefault="00FC180F" w:rsidP="004C7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722"/>
    <w:multiLevelType w:val="multilevel"/>
    <w:tmpl w:val="63A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324E2"/>
    <w:multiLevelType w:val="multilevel"/>
    <w:tmpl w:val="428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44244"/>
    <w:multiLevelType w:val="multilevel"/>
    <w:tmpl w:val="E3C0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D5713"/>
    <w:multiLevelType w:val="multilevel"/>
    <w:tmpl w:val="619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D1C5A"/>
    <w:multiLevelType w:val="multilevel"/>
    <w:tmpl w:val="DBC6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A57B01"/>
    <w:multiLevelType w:val="multilevel"/>
    <w:tmpl w:val="72F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A4FC5"/>
    <w:multiLevelType w:val="multilevel"/>
    <w:tmpl w:val="F358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8407E"/>
    <w:multiLevelType w:val="multilevel"/>
    <w:tmpl w:val="DDFA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C61D9"/>
    <w:multiLevelType w:val="multilevel"/>
    <w:tmpl w:val="3B26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A1320"/>
    <w:multiLevelType w:val="multilevel"/>
    <w:tmpl w:val="B7FE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49730E"/>
    <w:multiLevelType w:val="multilevel"/>
    <w:tmpl w:val="4070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736464"/>
    <w:multiLevelType w:val="multilevel"/>
    <w:tmpl w:val="3AFE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A67B5"/>
    <w:multiLevelType w:val="multilevel"/>
    <w:tmpl w:val="9514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10"/>
  </w:num>
  <w:num w:numId="2" w16cid:durableId="1969772821">
    <w:abstractNumId w:val="3"/>
  </w:num>
  <w:num w:numId="3" w16cid:durableId="993755049">
    <w:abstractNumId w:val="7"/>
  </w:num>
  <w:num w:numId="4" w16cid:durableId="88350905">
    <w:abstractNumId w:val="15"/>
  </w:num>
  <w:num w:numId="5" w16cid:durableId="1259873310">
    <w:abstractNumId w:val="0"/>
  </w:num>
  <w:num w:numId="6" w16cid:durableId="940913695">
    <w:abstractNumId w:val="6"/>
  </w:num>
  <w:num w:numId="7" w16cid:durableId="816412162">
    <w:abstractNumId w:val="8"/>
  </w:num>
  <w:num w:numId="8" w16cid:durableId="164636122">
    <w:abstractNumId w:val="13"/>
  </w:num>
  <w:num w:numId="9" w16cid:durableId="1391228641">
    <w:abstractNumId w:val="5"/>
  </w:num>
  <w:num w:numId="10" w16cid:durableId="1693265206">
    <w:abstractNumId w:val="4"/>
  </w:num>
  <w:num w:numId="11" w16cid:durableId="1273130144">
    <w:abstractNumId w:val="2"/>
  </w:num>
  <w:num w:numId="12" w16cid:durableId="1490556548">
    <w:abstractNumId w:val="12"/>
  </w:num>
  <w:num w:numId="13" w16cid:durableId="1488012275">
    <w:abstractNumId w:val="11"/>
  </w:num>
  <w:num w:numId="14" w16cid:durableId="669020599">
    <w:abstractNumId w:val="1"/>
  </w:num>
  <w:num w:numId="15" w16cid:durableId="818350440">
    <w:abstractNumId w:val="9"/>
  </w:num>
  <w:num w:numId="16" w16cid:durableId="1939824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7241A"/>
    <w:rsid w:val="00135CDD"/>
    <w:rsid w:val="001D0EEB"/>
    <w:rsid w:val="00316764"/>
    <w:rsid w:val="003276BD"/>
    <w:rsid w:val="00346F55"/>
    <w:rsid w:val="004A6242"/>
    <w:rsid w:val="004C7BF0"/>
    <w:rsid w:val="004D247E"/>
    <w:rsid w:val="005172DB"/>
    <w:rsid w:val="00580F46"/>
    <w:rsid w:val="00620090"/>
    <w:rsid w:val="006460AB"/>
    <w:rsid w:val="00677D09"/>
    <w:rsid w:val="00713AC4"/>
    <w:rsid w:val="00830A03"/>
    <w:rsid w:val="008608D3"/>
    <w:rsid w:val="00964131"/>
    <w:rsid w:val="00B649B3"/>
    <w:rsid w:val="00CA4633"/>
    <w:rsid w:val="00D016DC"/>
    <w:rsid w:val="00F47F65"/>
    <w:rsid w:val="00F71310"/>
    <w:rsid w:val="00FC180F"/>
    <w:rsid w:val="00FC5C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BF0"/>
    <w:pPr>
      <w:spacing w:after="120" w:line="240" w:lineRule="auto"/>
      <w:jc w:val="both"/>
    </w:pPr>
    <w:rPr>
      <w:rFonts w:ascii="Calibri" w:eastAsia="Times New Roman" w:hAnsi="Calibri" w:cs="Calibri"/>
      <w:kern w:val="0"/>
      <w:sz w:val="24"/>
      <w:szCs w:val="24"/>
      <w:lang w:eastAsia="fr-FR"/>
      <w14:ligatures w14:val="none"/>
    </w:rPr>
  </w:style>
  <w:style w:type="paragraph" w:styleId="Titre1">
    <w:name w:val="heading 1"/>
    <w:basedOn w:val="Normal"/>
    <w:next w:val="Normal"/>
    <w:link w:val="Titre1Car"/>
    <w:uiPriority w:val="9"/>
    <w:qFormat/>
    <w:rsid w:val="004C7BF0"/>
    <w:pPr>
      <w:keepNext/>
      <w:keepLines/>
      <w:spacing w:before="120"/>
      <w:outlineLvl w:val="0"/>
    </w:pPr>
    <w:rPr>
      <w:rFonts w:asciiTheme="majorHAnsi"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7BF0"/>
    <w:rPr>
      <w:rFonts w:asciiTheme="majorHAnsi" w:eastAsia="Times New Roman" w:hAnsiTheme="majorHAnsi" w:cstheme="majorBidi"/>
      <w:color w:val="0F4761" w:themeColor="accent1" w:themeShade="BF"/>
      <w:sz w:val="40"/>
      <w:szCs w:val="40"/>
      <w:lang w:eastAsia="fr-FR"/>
    </w:rPr>
  </w:style>
  <w:style w:type="character" w:customStyle="1" w:styleId="Titre2Car">
    <w:name w:val="Titre 2 Car"/>
    <w:basedOn w:val="Policepardfaut"/>
    <w:link w:val="Titre2"/>
    <w:uiPriority w:val="9"/>
    <w:semiHidden/>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pPr>
  </w:style>
  <w:style w:type="character" w:customStyle="1" w:styleId="PieddepageCar">
    <w:name w:val="Pied de page Car"/>
    <w:basedOn w:val="Policepardfaut"/>
    <w:link w:val="Pieddepage"/>
    <w:uiPriority w:val="99"/>
    <w:rsid w:val="0058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1175">
      <w:bodyDiv w:val="1"/>
      <w:marLeft w:val="0"/>
      <w:marRight w:val="0"/>
      <w:marTop w:val="0"/>
      <w:marBottom w:val="0"/>
      <w:divBdr>
        <w:top w:val="none" w:sz="0" w:space="0" w:color="auto"/>
        <w:left w:val="none" w:sz="0" w:space="0" w:color="auto"/>
        <w:bottom w:val="none" w:sz="0" w:space="0" w:color="auto"/>
        <w:right w:val="none" w:sz="0" w:space="0" w:color="auto"/>
      </w:divBdr>
    </w:div>
    <w:div w:id="194540058">
      <w:bodyDiv w:val="1"/>
      <w:marLeft w:val="0"/>
      <w:marRight w:val="0"/>
      <w:marTop w:val="0"/>
      <w:marBottom w:val="0"/>
      <w:divBdr>
        <w:top w:val="none" w:sz="0" w:space="0" w:color="auto"/>
        <w:left w:val="none" w:sz="0" w:space="0" w:color="auto"/>
        <w:bottom w:val="none" w:sz="0" w:space="0" w:color="auto"/>
        <w:right w:val="none" w:sz="0" w:space="0" w:color="auto"/>
      </w:divBdr>
    </w:div>
    <w:div w:id="211965325">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912275708">
      <w:bodyDiv w:val="1"/>
      <w:marLeft w:val="0"/>
      <w:marRight w:val="0"/>
      <w:marTop w:val="0"/>
      <w:marBottom w:val="0"/>
      <w:divBdr>
        <w:top w:val="none" w:sz="0" w:space="0" w:color="auto"/>
        <w:left w:val="none" w:sz="0" w:space="0" w:color="auto"/>
        <w:bottom w:val="none" w:sz="0" w:space="0" w:color="auto"/>
        <w:right w:val="none" w:sz="0" w:space="0" w:color="auto"/>
      </w:divBdr>
    </w:div>
    <w:div w:id="1161964472">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437216182">
      <w:bodyDiv w:val="1"/>
      <w:marLeft w:val="0"/>
      <w:marRight w:val="0"/>
      <w:marTop w:val="0"/>
      <w:marBottom w:val="0"/>
      <w:divBdr>
        <w:top w:val="none" w:sz="0" w:space="0" w:color="auto"/>
        <w:left w:val="none" w:sz="0" w:space="0" w:color="auto"/>
        <w:bottom w:val="none" w:sz="0" w:space="0" w:color="auto"/>
        <w:right w:val="none" w:sz="0" w:space="0" w:color="auto"/>
      </w:divBdr>
    </w:div>
    <w:div w:id="1478648770">
      <w:bodyDiv w:val="1"/>
      <w:marLeft w:val="0"/>
      <w:marRight w:val="0"/>
      <w:marTop w:val="0"/>
      <w:marBottom w:val="0"/>
      <w:divBdr>
        <w:top w:val="none" w:sz="0" w:space="0" w:color="auto"/>
        <w:left w:val="none" w:sz="0" w:space="0" w:color="auto"/>
        <w:bottom w:val="none" w:sz="0" w:space="0" w:color="auto"/>
        <w:right w:val="none" w:sz="0" w:space="0" w:color="auto"/>
      </w:divBdr>
    </w:div>
    <w:div w:id="1520385558">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647320220">
      <w:bodyDiv w:val="1"/>
      <w:marLeft w:val="0"/>
      <w:marRight w:val="0"/>
      <w:marTop w:val="0"/>
      <w:marBottom w:val="0"/>
      <w:divBdr>
        <w:top w:val="none" w:sz="0" w:space="0" w:color="auto"/>
        <w:left w:val="none" w:sz="0" w:space="0" w:color="auto"/>
        <w:bottom w:val="none" w:sz="0" w:space="0" w:color="auto"/>
        <w:right w:val="none" w:sz="0" w:space="0" w:color="auto"/>
      </w:divBdr>
    </w:div>
    <w:div w:id="20830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692</Words>
  <Characters>3810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2024-10-21T05:24:00Z</cp:lastPrinted>
  <dcterms:created xsi:type="dcterms:W3CDTF">2024-11-15T09:41:00Z</dcterms:created>
  <dcterms:modified xsi:type="dcterms:W3CDTF">2024-11-15T09:44:00Z</dcterms:modified>
</cp:coreProperties>
</file>