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C2BA5" w14:textId="7ABAF965" w:rsidR="00A97450" w:rsidRPr="00A97450" w:rsidRDefault="00A97450" w:rsidP="00A97450">
      <w:pPr>
        <w:pStyle w:val="Titre1"/>
      </w:pPr>
      <w:r w:rsidRPr="00A97450">
        <w:t xml:space="preserve">FICHE 3 </w:t>
      </w:r>
      <w:r>
        <w:t>-</w:t>
      </w:r>
      <w:r w:rsidRPr="00A97450">
        <w:t xml:space="preserve"> COMPRENDRE LE CADRE NORMATIF COMPTABLE</w:t>
      </w:r>
      <w:r>
        <w:t> :</w:t>
      </w:r>
      <w:r w:rsidRPr="00A97450">
        <w:t xml:space="preserve"> PRINCIPES, SOURCES ET NORMALISATION</w:t>
      </w:r>
    </w:p>
    <w:p w14:paraId="74331F85" w14:textId="77777777" w:rsidR="00A97450" w:rsidRPr="00A97450" w:rsidRDefault="00A97450" w:rsidP="00A97450">
      <w:pPr>
        <w:spacing w:after="0" w:line="240" w:lineRule="auto"/>
      </w:pPr>
      <w:r w:rsidRPr="00A97450">
        <w:t xml:space="preserve">La comptabilité ne repose pas uniquement sur des techniques d’enregistrement. Elle s’inscrit dans un </w:t>
      </w:r>
      <w:r w:rsidRPr="00A97450">
        <w:rPr>
          <w:b/>
          <w:bCs/>
        </w:rPr>
        <w:t>cadre normatif</w:t>
      </w:r>
      <w:r w:rsidRPr="00A97450">
        <w:t xml:space="preserve"> qui détermine les règles applicables, les méthodes d’évaluation, la présentation des comptes et les principes qui doivent guider leur établissement.</w:t>
      </w:r>
    </w:p>
    <w:p w14:paraId="0617D545" w14:textId="497B4244" w:rsidR="00A97450" w:rsidRPr="00A97450" w:rsidRDefault="00A97450" w:rsidP="00A97450">
      <w:pPr>
        <w:pStyle w:val="Titre1"/>
      </w:pPr>
      <w:r w:rsidRPr="00A97450">
        <w:t>1. Pourquoi normaliser la comptabilité</w:t>
      </w:r>
      <w:r>
        <w:t> ?</w:t>
      </w:r>
    </w:p>
    <w:p w14:paraId="5B5D7009" w14:textId="77777777" w:rsidR="00A97450" w:rsidRPr="00A97450" w:rsidRDefault="00A97450" w:rsidP="00A97450">
      <w:pPr>
        <w:spacing w:after="0" w:line="240" w:lineRule="auto"/>
        <w:rPr>
          <w:b/>
          <w:bCs/>
        </w:rPr>
      </w:pPr>
      <w:r w:rsidRPr="00A97450">
        <w:rPr>
          <w:b/>
          <w:bCs/>
        </w:rPr>
        <w:t>1.1 La normalisation comptable</w:t>
      </w:r>
    </w:p>
    <w:p w14:paraId="2A9FFD69" w14:textId="77777777" w:rsidR="00A97450" w:rsidRPr="00A97450" w:rsidRDefault="00A97450" w:rsidP="00A97450">
      <w:pPr>
        <w:spacing w:after="0" w:line="240" w:lineRule="auto"/>
      </w:pPr>
      <w:r w:rsidRPr="00A97450">
        <w:t xml:space="preserve">La </w:t>
      </w:r>
      <w:r w:rsidRPr="00A97450">
        <w:rPr>
          <w:b/>
          <w:bCs/>
        </w:rPr>
        <w:t>normalisation comptable</w:t>
      </w:r>
      <w:r w:rsidRPr="00A97450">
        <w:t xml:space="preserve"> est le processus par lequel sont élaborées des règles communes destinées à encadrer la production de l’information comptable et financière.</w:t>
      </w:r>
    </w:p>
    <w:p w14:paraId="56C96D73" w14:textId="30A23DB6" w:rsidR="00A97450" w:rsidRPr="00A97450" w:rsidRDefault="00A97450" w:rsidP="00A97450">
      <w:pPr>
        <w:spacing w:after="0" w:line="240" w:lineRule="auto"/>
      </w:pPr>
      <w:r w:rsidRPr="00A97450">
        <w:t>Elle permet d’éviter que chaque organisation définisse librement</w:t>
      </w:r>
      <w:r>
        <w:t> :</w:t>
      </w:r>
    </w:p>
    <w:p w14:paraId="0878B97C" w14:textId="0FD6C491" w:rsidR="00A97450" w:rsidRPr="00A97450" w:rsidRDefault="00A97450">
      <w:pPr>
        <w:numPr>
          <w:ilvl w:val="0"/>
          <w:numId w:val="1"/>
        </w:numPr>
        <w:spacing w:after="0" w:line="240" w:lineRule="auto"/>
      </w:pPr>
      <w:r w:rsidRPr="00A97450">
        <w:t>ses méthodes d’enregistrement</w:t>
      </w:r>
      <w:r>
        <w:t> ;</w:t>
      </w:r>
    </w:p>
    <w:p w14:paraId="1A708252" w14:textId="4E5ED6C7" w:rsidR="00A97450" w:rsidRPr="00A97450" w:rsidRDefault="00A97450">
      <w:pPr>
        <w:numPr>
          <w:ilvl w:val="0"/>
          <w:numId w:val="1"/>
        </w:numPr>
        <w:spacing w:after="0" w:line="240" w:lineRule="auto"/>
      </w:pPr>
      <w:r w:rsidRPr="00A97450">
        <w:t>ses méthodes d’évaluation</w:t>
      </w:r>
      <w:r>
        <w:t> ;</w:t>
      </w:r>
    </w:p>
    <w:p w14:paraId="69444713" w14:textId="065A82D8" w:rsidR="00A97450" w:rsidRPr="00A97450" w:rsidRDefault="00A97450">
      <w:pPr>
        <w:numPr>
          <w:ilvl w:val="0"/>
          <w:numId w:val="1"/>
        </w:numPr>
        <w:spacing w:after="0" w:line="240" w:lineRule="auto"/>
      </w:pPr>
      <w:r w:rsidRPr="00A97450">
        <w:t>la présentation de ses comptes</w:t>
      </w:r>
      <w:r>
        <w:t> ;</w:t>
      </w:r>
    </w:p>
    <w:p w14:paraId="7B678215" w14:textId="77777777" w:rsidR="00A97450" w:rsidRPr="00A97450" w:rsidRDefault="00A97450">
      <w:pPr>
        <w:numPr>
          <w:ilvl w:val="0"/>
          <w:numId w:val="1"/>
        </w:numPr>
        <w:spacing w:after="0" w:line="240" w:lineRule="auto"/>
      </w:pPr>
      <w:r w:rsidRPr="00A97450">
        <w:t>les informations qu’elle souhaite communiquer.</w:t>
      </w:r>
    </w:p>
    <w:p w14:paraId="4CF66C32" w14:textId="66D53028" w:rsidR="00A97450" w:rsidRPr="00A97450" w:rsidRDefault="00A97450" w:rsidP="00A97450">
      <w:pPr>
        <w:spacing w:after="0" w:line="240" w:lineRule="auto"/>
      </w:pPr>
      <w:r w:rsidRPr="00A97450">
        <w:t>Le fichier source identifie quatre grands objectifs</w:t>
      </w:r>
      <w:r>
        <w:t> :</w:t>
      </w:r>
      <w:r w:rsidRPr="00A97450">
        <w:t xml:space="preserve"> assurer l’image fidèle, renforcer la comparabilité, améliorer la transparence de l’information et faciliter le contrôle.</w:t>
      </w:r>
    </w:p>
    <w:p w14:paraId="24A18AB7" w14:textId="77777777" w:rsidR="00A97450" w:rsidRPr="00A97450" w:rsidRDefault="00A97450" w:rsidP="00A97450">
      <w:pPr>
        <w:spacing w:after="0" w:line="240" w:lineRule="auto"/>
        <w:rPr>
          <w:b/>
          <w:bCs/>
        </w:rPr>
      </w:pPr>
      <w:r w:rsidRPr="00A97450">
        <w:rPr>
          <w:b/>
          <w:bCs/>
        </w:rPr>
        <w:t>Les principaux objectifs</w:t>
      </w:r>
    </w:p>
    <w:tbl>
      <w:tblPr>
        <w:tblStyle w:val="Grilledutableau"/>
        <w:tblW w:w="0" w:type="auto"/>
        <w:tblLook w:val="04A0" w:firstRow="1" w:lastRow="0" w:firstColumn="1" w:lastColumn="0" w:noHBand="0" w:noVBand="1"/>
      </w:tblPr>
      <w:tblGrid>
        <w:gridCol w:w="1530"/>
        <w:gridCol w:w="7177"/>
      </w:tblGrid>
      <w:tr w:rsidR="00A97450" w:rsidRPr="00A97450" w14:paraId="38D20E7A" w14:textId="77777777" w:rsidTr="00A97450">
        <w:trPr>
          <w:tblHeader/>
        </w:trPr>
        <w:tc>
          <w:tcPr>
            <w:tcW w:w="0" w:type="auto"/>
            <w:hideMark/>
          </w:tcPr>
          <w:p w14:paraId="64534C12" w14:textId="77777777" w:rsidR="00A97450" w:rsidRPr="00A97450" w:rsidRDefault="00A97450" w:rsidP="00A97450">
            <w:pPr>
              <w:jc w:val="left"/>
              <w:rPr>
                <w:rFonts w:ascii="Calibri" w:hAnsi="Calibri" w:cs="Calibri"/>
                <w:b/>
                <w:bCs/>
                <w:sz w:val="20"/>
              </w:rPr>
            </w:pPr>
            <w:r w:rsidRPr="00A97450">
              <w:rPr>
                <w:rFonts w:ascii="Calibri" w:hAnsi="Calibri" w:cs="Calibri"/>
                <w:b/>
                <w:bCs/>
                <w:sz w:val="20"/>
              </w:rPr>
              <w:t>Objectif</w:t>
            </w:r>
          </w:p>
        </w:tc>
        <w:tc>
          <w:tcPr>
            <w:tcW w:w="0" w:type="auto"/>
            <w:hideMark/>
          </w:tcPr>
          <w:p w14:paraId="6A9A3437" w14:textId="77777777" w:rsidR="00A97450" w:rsidRPr="00A97450" w:rsidRDefault="00A97450" w:rsidP="00A97450">
            <w:pPr>
              <w:jc w:val="left"/>
              <w:rPr>
                <w:rFonts w:ascii="Calibri" w:hAnsi="Calibri" w:cs="Calibri"/>
                <w:b/>
                <w:bCs/>
                <w:sz w:val="20"/>
              </w:rPr>
            </w:pPr>
            <w:r w:rsidRPr="00A97450">
              <w:rPr>
                <w:rFonts w:ascii="Calibri" w:hAnsi="Calibri" w:cs="Calibri"/>
                <w:b/>
                <w:bCs/>
                <w:sz w:val="20"/>
              </w:rPr>
              <w:t>Intérêt</w:t>
            </w:r>
          </w:p>
        </w:tc>
      </w:tr>
      <w:tr w:rsidR="00A97450" w:rsidRPr="00A97450" w14:paraId="1A533958" w14:textId="77777777" w:rsidTr="00A97450">
        <w:tc>
          <w:tcPr>
            <w:tcW w:w="0" w:type="auto"/>
            <w:hideMark/>
          </w:tcPr>
          <w:p w14:paraId="6D8238C2" w14:textId="77777777" w:rsidR="00A97450" w:rsidRPr="00A97450" w:rsidRDefault="00A97450" w:rsidP="00A97450">
            <w:pPr>
              <w:jc w:val="left"/>
              <w:rPr>
                <w:rFonts w:ascii="Calibri" w:hAnsi="Calibri" w:cs="Calibri"/>
                <w:sz w:val="20"/>
              </w:rPr>
            </w:pPr>
            <w:r w:rsidRPr="00A97450">
              <w:rPr>
                <w:rFonts w:ascii="Calibri" w:hAnsi="Calibri" w:cs="Calibri"/>
                <w:b/>
                <w:bCs/>
                <w:sz w:val="20"/>
              </w:rPr>
              <w:t>Fiabilité</w:t>
            </w:r>
          </w:p>
        </w:tc>
        <w:tc>
          <w:tcPr>
            <w:tcW w:w="0" w:type="auto"/>
            <w:hideMark/>
          </w:tcPr>
          <w:p w14:paraId="37C84D88" w14:textId="77777777" w:rsidR="00A97450" w:rsidRPr="00A97450" w:rsidRDefault="00A97450" w:rsidP="00A97450">
            <w:pPr>
              <w:jc w:val="left"/>
              <w:rPr>
                <w:rFonts w:ascii="Calibri" w:hAnsi="Calibri" w:cs="Calibri"/>
                <w:sz w:val="20"/>
              </w:rPr>
            </w:pPr>
            <w:r w:rsidRPr="00A97450">
              <w:rPr>
                <w:rFonts w:ascii="Calibri" w:hAnsi="Calibri" w:cs="Calibri"/>
                <w:sz w:val="20"/>
              </w:rPr>
              <w:t>Encadrer les traitements comptables et limiter l’arbitraire.</w:t>
            </w:r>
          </w:p>
        </w:tc>
      </w:tr>
      <w:tr w:rsidR="00A97450" w:rsidRPr="00A97450" w14:paraId="3ED0C69E" w14:textId="77777777" w:rsidTr="00A97450">
        <w:tc>
          <w:tcPr>
            <w:tcW w:w="0" w:type="auto"/>
            <w:hideMark/>
          </w:tcPr>
          <w:p w14:paraId="05CB9DC5" w14:textId="77777777" w:rsidR="00A97450" w:rsidRPr="00A97450" w:rsidRDefault="00A97450" w:rsidP="00A97450">
            <w:pPr>
              <w:jc w:val="left"/>
              <w:rPr>
                <w:rFonts w:ascii="Calibri" w:hAnsi="Calibri" w:cs="Calibri"/>
                <w:sz w:val="20"/>
              </w:rPr>
            </w:pPr>
            <w:r w:rsidRPr="00A97450">
              <w:rPr>
                <w:rFonts w:ascii="Calibri" w:hAnsi="Calibri" w:cs="Calibri"/>
                <w:b/>
                <w:bCs/>
                <w:sz w:val="20"/>
              </w:rPr>
              <w:t>Comparabilité</w:t>
            </w:r>
          </w:p>
        </w:tc>
        <w:tc>
          <w:tcPr>
            <w:tcW w:w="0" w:type="auto"/>
            <w:hideMark/>
          </w:tcPr>
          <w:p w14:paraId="6F7035E7" w14:textId="77777777" w:rsidR="00A97450" w:rsidRPr="00A97450" w:rsidRDefault="00A97450" w:rsidP="00A97450">
            <w:pPr>
              <w:jc w:val="left"/>
              <w:rPr>
                <w:rFonts w:ascii="Calibri" w:hAnsi="Calibri" w:cs="Calibri"/>
                <w:sz w:val="20"/>
              </w:rPr>
            </w:pPr>
            <w:r w:rsidRPr="00A97450">
              <w:rPr>
                <w:rFonts w:ascii="Calibri" w:hAnsi="Calibri" w:cs="Calibri"/>
                <w:sz w:val="20"/>
              </w:rPr>
              <w:t>Permettre des comparaisons entre exercices et entre entités.</w:t>
            </w:r>
          </w:p>
        </w:tc>
      </w:tr>
      <w:tr w:rsidR="00A97450" w:rsidRPr="00A97450" w14:paraId="62A45CE6" w14:textId="77777777" w:rsidTr="00A97450">
        <w:tc>
          <w:tcPr>
            <w:tcW w:w="0" w:type="auto"/>
            <w:hideMark/>
          </w:tcPr>
          <w:p w14:paraId="6A608439" w14:textId="77777777" w:rsidR="00A97450" w:rsidRPr="00A97450" w:rsidRDefault="00A97450" w:rsidP="00A97450">
            <w:pPr>
              <w:jc w:val="left"/>
              <w:rPr>
                <w:rFonts w:ascii="Calibri" w:hAnsi="Calibri" w:cs="Calibri"/>
                <w:sz w:val="20"/>
              </w:rPr>
            </w:pPr>
            <w:r w:rsidRPr="00A97450">
              <w:rPr>
                <w:rFonts w:ascii="Calibri" w:hAnsi="Calibri" w:cs="Calibri"/>
                <w:b/>
                <w:bCs/>
                <w:sz w:val="20"/>
              </w:rPr>
              <w:t>Transparence</w:t>
            </w:r>
          </w:p>
        </w:tc>
        <w:tc>
          <w:tcPr>
            <w:tcW w:w="0" w:type="auto"/>
            <w:hideMark/>
          </w:tcPr>
          <w:p w14:paraId="13BD5CF8" w14:textId="77777777" w:rsidR="00A97450" w:rsidRPr="00A97450" w:rsidRDefault="00A97450" w:rsidP="00A97450">
            <w:pPr>
              <w:jc w:val="left"/>
              <w:rPr>
                <w:rFonts w:ascii="Calibri" w:hAnsi="Calibri" w:cs="Calibri"/>
                <w:sz w:val="20"/>
              </w:rPr>
            </w:pPr>
            <w:r w:rsidRPr="00A97450">
              <w:rPr>
                <w:rFonts w:ascii="Calibri" w:hAnsi="Calibri" w:cs="Calibri"/>
                <w:sz w:val="20"/>
              </w:rPr>
              <w:t>Faciliter la compréhension de l’information produite.</w:t>
            </w:r>
          </w:p>
        </w:tc>
      </w:tr>
      <w:tr w:rsidR="00A97450" w:rsidRPr="00A97450" w14:paraId="6B1B8FC3" w14:textId="77777777" w:rsidTr="00A97450">
        <w:tc>
          <w:tcPr>
            <w:tcW w:w="0" w:type="auto"/>
            <w:hideMark/>
          </w:tcPr>
          <w:p w14:paraId="568CD658" w14:textId="77777777" w:rsidR="00A97450" w:rsidRPr="00A97450" w:rsidRDefault="00A97450" w:rsidP="00A97450">
            <w:pPr>
              <w:jc w:val="left"/>
              <w:rPr>
                <w:rFonts w:ascii="Calibri" w:hAnsi="Calibri" w:cs="Calibri"/>
                <w:sz w:val="20"/>
              </w:rPr>
            </w:pPr>
            <w:r w:rsidRPr="00A97450">
              <w:rPr>
                <w:rFonts w:ascii="Calibri" w:hAnsi="Calibri" w:cs="Calibri"/>
                <w:b/>
                <w:bCs/>
                <w:sz w:val="20"/>
              </w:rPr>
              <w:t>Contrôle</w:t>
            </w:r>
          </w:p>
        </w:tc>
        <w:tc>
          <w:tcPr>
            <w:tcW w:w="0" w:type="auto"/>
            <w:hideMark/>
          </w:tcPr>
          <w:p w14:paraId="7407D24B" w14:textId="77777777" w:rsidR="00A97450" w:rsidRPr="00A97450" w:rsidRDefault="00A97450" w:rsidP="00A97450">
            <w:pPr>
              <w:jc w:val="left"/>
              <w:rPr>
                <w:rFonts w:ascii="Calibri" w:hAnsi="Calibri" w:cs="Calibri"/>
                <w:sz w:val="20"/>
              </w:rPr>
            </w:pPr>
            <w:r w:rsidRPr="00A97450">
              <w:rPr>
                <w:rFonts w:ascii="Calibri" w:hAnsi="Calibri" w:cs="Calibri"/>
                <w:sz w:val="20"/>
              </w:rPr>
              <w:t>Permettre aux auditeurs, administrations et autres utilisateurs de vérifier les comptes.</w:t>
            </w:r>
          </w:p>
        </w:tc>
      </w:tr>
      <w:tr w:rsidR="00A97450" w:rsidRPr="00A97450" w14:paraId="41F83301" w14:textId="77777777" w:rsidTr="00A97450">
        <w:tc>
          <w:tcPr>
            <w:tcW w:w="0" w:type="auto"/>
            <w:hideMark/>
          </w:tcPr>
          <w:p w14:paraId="1B672A3F" w14:textId="77777777" w:rsidR="00A97450" w:rsidRPr="00A97450" w:rsidRDefault="00A97450" w:rsidP="00A97450">
            <w:pPr>
              <w:jc w:val="left"/>
              <w:rPr>
                <w:rFonts w:ascii="Calibri" w:hAnsi="Calibri" w:cs="Calibri"/>
                <w:sz w:val="20"/>
              </w:rPr>
            </w:pPr>
            <w:r w:rsidRPr="00A97450">
              <w:rPr>
                <w:rFonts w:ascii="Calibri" w:hAnsi="Calibri" w:cs="Calibri"/>
                <w:b/>
                <w:bCs/>
                <w:sz w:val="20"/>
              </w:rPr>
              <w:t>Communication</w:t>
            </w:r>
          </w:p>
        </w:tc>
        <w:tc>
          <w:tcPr>
            <w:tcW w:w="0" w:type="auto"/>
            <w:hideMark/>
          </w:tcPr>
          <w:p w14:paraId="5FCC76D8" w14:textId="77777777" w:rsidR="00A97450" w:rsidRPr="00A97450" w:rsidRDefault="00A97450" w:rsidP="00A97450">
            <w:pPr>
              <w:jc w:val="left"/>
              <w:rPr>
                <w:rFonts w:ascii="Calibri" w:hAnsi="Calibri" w:cs="Calibri"/>
                <w:sz w:val="20"/>
              </w:rPr>
            </w:pPr>
            <w:r w:rsidRPr="00A97450">
              <w:rPr>
                <w:rFonts w:ascii="Calibri" w:hAnsi="Calibri" w:cs="Calibri"/>
                <w:sz w:val="20"/>
              </w:rPr>
              <w:t>Fournir un langage comptable commun.</w:t>
            </w:r>
          </w:p>
        </w:tc>
      </w:tr>
      <w:tr w:rsidR="00A97450" w:rsidRPr="00A97450" w14:paraId="77BC60CD" w14:textId="77777777" w:rsidTr="00A97450">
        <w:tc>
          <w:tcPr>
            <w:tcW w:w="0" w:type="auto"/>
            <w:hideMark/>
          </w:tcPr>
          <w:p w14:paraId="69C994D6" w14:textId="77777777" w:rsidR="00A97450" w:rsidRPr="00A97450" w:rsidRDefault="00A97450" w:rsidP="00A97450">
            <w:pPr>
              <w:jc w:val="left"/>
              <w:rPr>
                <w:rFonts w:ascii="Calibri" w:hAnsi="Calibri" w:cs="Calibri"/>
                <w:sz w:val="20"/>
              </w:rPr>
            </w:pPr>
            <w:r w:rsidRPr="00A97450">
              <w:rPr>
                <w:rFonts w:ascii="Calibri" w:hAnsi="Calibri" w:cs="Calibri"/>
                <w:b/>
                <w:bCs/>
                <w:sz w:val="20"/>
              </w:rPr>
              <w:t>Harmonisation</w:t>
            </w:r>
          </w:p>
        </w:tc>
        <w:tc>
          <w:tcPr>
            <w:tcW w:w="0" w:type="auto"/>
            <w:hideMark/>
          </w:tcPr>
          <w:p w14:paraId="755FD006" w14:textId="77777777" w:rsidR="00A97450" w:rsidRPr="00A97450" w:rsidRDefault="00A97450" w:rsidP="00A97450">
            <w:pPr>
              <w:jc w:val="left"/>
              <w:rPr>
                <w:rFonts w:ascii="Calibri" w:hAnsi="Calibri" w:cs="Calibri"/>
                <w:sz w:val="20"/>
              </w:rPr>
            </w:pPr>
            <w:r w:rsidRPr="00A97450">
              <w:rPr>
                <w:rFonts w:ascii="Calibri" w:hAnsi="Calibri" w:cs="Calibri"/>
                <w:sz w:val="20"/>
              </w:rPr>
              <w:t>Rapprocher les pratiques dans un environnement économique internationalisé.</w:t>
            </w:r>
          </w:p>
        </w:tc>
      </w:tr>
    </w:tbl>
    <w:p w14:paraId="10DA8499" w14:textId="77777777" w:rsidR="00A97450" w:rsidRPr="00A97450" w:rsidRDefault="00A97450" w:rsidP="00A97450">
      <w:pPr>
        <w:spacing w:after="0" w:line="240" w:lineRule="auto"/>
        <w:rPr>
          <w:b/>
          <w:bCs/>
        </w:rPr>
      </w:pPr>
      <w:r w:rsidRPr="00A97450">
        <w:rPr>
          <w:b/>
          <w:bCs/>
        </w:rPr>
        <w:t>1.2 Norme comptable et norme professionnelle</w:t>
      </w:r>
    </w:p>
    <w:p w14:paraId="2A1D9941" w14:textId="77777777" w:rsidR="00A97450" w:rsidRPr="00A97450" w:rsidRDefault="00A97450" w:rsidP="00A97450">
      <w:pPr>
        <w:spacing w:after="0" w:line="240" w:lineRule="auto"/>
      </w:pPr>
      <w:r w:rsidRPr="00A97450">
        <w:t>Il faut distinguer deux notions.</w:t>
      </w:r>
    </w:p>
    <w:p w14:paraId="4C8D2AE1" w14:textId="77777777" w:rsidR="00A97450" w:rsidRPr="00A97450" w:rsidRDefault="00A97450" w:rsidP="00A97450">
      <w:pPr>
        <w:spacing w:after="0" w:line="240" w:lineRule="auto"/>
        <w:rPr>
          <w:b/>
          <w:bCs/>
        </w:rPr>
      </w:pPr>
      <w:r w:rsidRPr="00A97450">
        <w:rPr>
          <w:b/>
          <w:bCs/>
        </w:rPr>
        <w:t>Norme comptable</w:t>
      </w:r>
    </w:p>
    <w:p w14:paraId="5EB2D287" w14:textId="320C5133" w:rsidR="00A97450" w:rsidRPr="00A97450" w:rsidRDefault="00A97450" w:rsidP="00A97450">
      <w:pPr>
        <w:spacing w:after="0" w:line="240" w:lineRule="auto"/>
      </w:pPr>
      <w:r w:rsidRPr="00A97450">
        <w:t>Elle détermine notamment</w:t>
      </w:r>
      <w:r>
        <w:t> :</w:t>
      </w:r>
    </w:p>
    <w:p w14:paraId="0D436840" w14:textId="7A341CA8" w:rsidR="00A97450" w:rsidRPr="00A97450" w:rsidRDefault="00A97450">
      <w:pPr>
        <w:numPr>
          <w:ilvl w:val="0"/>
          <w:numId w:val="2"/>
        </w:numPr>
        <w:spacing w:after="0" w:line="240" w:lineRule="auto"/>
      </w:pPr>
      <w:r w:rsidRPr="00A97450">
        <w:t>les conditions de comptabilisation</w:t>
      </w:r>
      <w:r>
        <w:t> ;</w:t>
      </w:r>
    </w:p>
    <w:p w14:paraId="6E03259B" w14:textId="72E1BCFC" w:rsidR="00A97450" w:rsidRPr="00A97450" w:rsidRDefault="00A97450">
      <w:pPr>
        <w:numPr>
          <w:ilvl w:val="0"/>
          <w:numId w:val="2"/>
        </w:numPr>
        <w:spacing w:after="0" w:line="240" w:lineRule="auto"/>
      </w:pPr>
      <w:r w:rsidRPr="00A97450">
        <w:t>les règles d’évaluation</w:t>
      </w:r>
      <w:r>
        <w:t> ;</w:t>
      </w:r>
    </w:p>
    <w:p w14:paraId="09C69AA8" w14:textId="24A929AB" w:rsidR="00A97450" w:rsidRPr="00A97450" w:rsidRDefault="00A97450">
      <w:pPr>
        <w:numPr>
          <w:ilvl w:val="0"/>
          <w:numId w:val="2"/>
        </w:numPr>
        <w:spacing w:after="0" w:line="240" w:lineRule="auto"/>
      </w:pPr>
      <w:r w:rsidRPr="00A97450">
        <w:t>les méthodes applicables</w:t>
      </w:r>
      <w:r>
        <w:t> ;</w:t>
      </w:r>
    </w:p>
    <w:p w14:paraId="2327CF83" w14:textId="77777777" w:rsidR="00A97450" w:rsidRPr="00A97450" w:rsidRDefault="00A97450">
      <w:pPr>
        <w:numPr>
          <w:ilvl w:val="0"/>
          <w:numId w:val="2"/>
        </w:numPr>
        <w:spacing w:after="0" w:line="240" w:lineRule="auto"/>
      </w:pPr>
      <w:r w:rsidRPr="00A97450">
        <w:t>la présentation de l’information financière.</w:t>
      </w:r>
    </w:p>
    <w:p w14:paraId="49509C12" w14:textId="77777777" w:rsidR="00A97450" w:rsidRPr="00A97450" w:rsidRDefault="00A97450" w:rsidP="00A97450">
      <w:pPr>
        <w:spacing w:after="0" w:line="240" w:lineRule="auto"/>
        <w:rPr>
          <w:b/>
          <w:bCs/>
        </w:rPr>
      </w:pPr>
      <w:r w:rsidRPr="00A97450">
        <w:rPr>
          <w:b/>
          <w:bCs/>
        </w:rPr>
        <w:t>Norme professionnelle</w:t>
      </w:r>
    </w:p>
    <w:p w14:paraId="34804352" w14:textId="77777777" w:rsidR="00A97450" w:rsidRPr="00A97450" w:rsidRDefault="00A97450" w:rsidP="00A97450">
      <w:pPr>
        <w:spacing w:after="0" w:line="240" w:lineRule="auto"/>
      </w:pPr>
      <w:r w:rsidRPr="00A97450">
        <w:t>Elle encadre l’exercice d’une profession ou la réalisation d’une mission professionnelle.</w:t>
      </w:r>
    </w:p>
    <w:p w14:paraId="37A36008" w14:textId="4A807772" w:rsidR="00A97450" w:rsidRPr="00A97450" w:rsidRDefault="00A97450" w:rsidP="00A97450">
      <w:pPr>
        <w:spacing w:after="0" w:line="240" w:lineRule="auto"/>
      </w:pPr>
      <w:r w:rsidRPr="00A97450">
        <w:t>Exemple</w:t>
      </w:r>
      <w:r>
        <w:t> :</w:t>
      </w:r>
      <w:r w:rsidRPr="00A97450">
        <w:t xml:space="preserve"> les normes relatives à l’exercice d’une mission d’audit ne sont pas des règles déterminant directement la comptabilisation d’une immobilisation.</w:t>
      </w:r>
    </w:p>
    <w:p w14:paraId="11A7D213" w14:textId="77777777" w:rsidR="00A97450" w:rsidRPr="00A97450" w:rsidRDefault="00A97450" w:rsidP="00A97450">
      <w:pPr>
        <w:spacing w:after="0" w:line="240" w:lineRule="auto"/>
      </w:pPr>
      <w:r w:rsidRPr="00A97450">
        <w:rPr>
          <w:b/>
          <w:bCs/>
        </w:rPr>
        <w:t>Norme comptable = production des comptes.</w:t>
      </w:r>
    </w:p>
    <w:p w14:paraId="6E32DB19" w14:textId="77777777" w:rsidR="00A97450" w:rsidRPr="00A97450" w:rsidRDefault="00A97450" w:rsidP="00A97450">
      <w:pPr>
        <w:spacing w:after="0" w:line="240" w:lineRule="auto"/>
      </w:pPr>
      <w:r w:rsidRPr="00A97450">
        <w:rPr>
          <w:b/>
          <w:bCs/>
        </w:rPr>
        <w:t>Norme professionnelle = exercice d’une mission professionnelle.</w:t>
      </w:r>
    </w:p>
    <w:p w14:paraId="300C30C4" w14:textId="77777777" w:rsidR="00A97450" w:rsidRPr="00A97450" w:rsidRDefault="00A97450" w:rsidP="00A97450">
      <w:pPr>
        <w:spacing w:after="0" w:line="240" w:lineRule="auto"/>
      </w:pPr>
      <w:r w:rsidRPr="00A97450">
        <w:pict w14:anchorId="0896181A">
          <v:rect id="_x0000_i3299" style="width:0;height:1.5pt" o:hralign="center" o:hrstd="t" o:hr="t" fillcolor="#a0a0a0" stroked="f"/>
        </w:pict>
      </w:r>
    </w:p>
    <w:p w14:paraId="5EB78B38" w14:textId="77777777" w:rsidR="00A97450" w:rsidRPr="00A97450" w:rsidRDefault="00A97450" w:rsidP="00A97450">
      <w:pPr>
        <w:pStyle w:val="Titre1"/>
      </w:pPr>
      <w:r w:rsidRPr="00A97450">
        <w:t>2. Les différents niveaux de normalisation</w:t>
      </w:r>
    </w:p>
    <w:p w14:paraId="4264D024" w14:textId="08567833" w:rsidR="00A97450" w:rsidRPr="00A97450" w:rsidRDefault="00A97450" w:rsidP="00A97450">
      <w:pPr>
        <w:spacing w:after="0" w:line="240" w:lineRule="auto"/>
      </w:pPr>
      <w:r w:rsidRPr="00A97450">
        <w:t>La normalisation comptable s’effectue à plusieurs niveaux</w:t>
      </w:r>
      <w:r>
        <w:t> :</w:t>
      </w:r>
    </w:p>
    <w:p w14:paraId="3091C507" w14:textId="6EEA8F8C" w:rsidR="00A97450" w:rsidRPr="00A97450" w:rsidRDefault="00A97450">
      <w:pPr>
        <w:numPr>
          <w:ilvl w:val="0"/>
          <w:numId w:val="3"/>
        </w:numPr>
        <w:spacing w:after="0" w:line="240" w:lineRule="auto"/>
      </w:pPr>
      <w:r w:rsidRPr="00A97450">
        <w:rPr>
          <w:b/>
          <w:bCs/>
        </w:rPr>
        <w:t>international</w:t>
      </w:r>
      <w:r>
        <w:t> ;</w:t>
      </w:r>
    </w:p>
    <w:p w14:paraId="6340701D" w14:textId="74750CD6" w:rsidR="00A97450" w:rsidRPr="00A97450" w:rsidRDefault="00A97450">
      <w:pPr>
        <w:numPr>
          <w:ilvl w:val="0"/>
          <w:numId w:val="3"/>
        </w:numPr>
        <w:spacing w:after="0" w:line="240" w:lineRule="auto"/>
      </w:pPr>
      <w:r w:rsidRPr="00A97450">
        <w:rPr>
          <w:b/>
          <w:bCs/>
        </w:rPr>
        <w:t>européen</w:t>
      </w:r>
      <w:r>
        <w:t> ;</w:t>
      </w:r>
    </w:p>
    <w:p w14:paraId="3A19E8D2" w14:textId="75B0F313" w:rsidR="00A97450" w:rsidRPr="00A97450" w:rsidRDefault="00A97450">
      <w:pPr>
        <w:numPr>
          <w:ilvl w:val="0"/>
          <w:numId w:val="3"/>
        </w:numPr>
        <w:spacing w:after="0" w:line="240" w:lineRule="auto"/>
      </w:pPr>
      <w:r w:rsidRPr="00A97450">
        <w:rPr>
          <w:b/>
          <w:bCs/>
        </w:rPr>
        <w:t>national</w:t>
      </w:r>
      <w:r>
        <w:t> ;</w:t>
      </w:r>
    </w:p>
    <w:p w14:paraId="0F05836E" w14:textId="1FB53C48" w:rsidR="00A97450" w:rsidRPr="00A97450" w:rsidRDefault="00A97450">
      <w:pPr>
        <w:numPr>
          <w:ilvl w:val="0"/>
          <w:numId w:val="3"/>
        </w:numPr>
        <w:spacing w:after="0" w:line="240" w:lineRule="auto"/>
      </w:pPr>
      <w:r w:rsidRPr="00A97450">
        <w:rPr>
          <w:b/>
          <w:bCs/>
        </w:rPr>
        <w:t>public</w:t>
      </w:r>
      <w:r>
        <w:t> ;</w:t>
      </w:r>
    </w:p>
    <w:p w14:paraId="618FBCD8" w14:textId="77777777" w:rsidR="00A97450" w:rsidRPr="00A97450" w:rsidRDefault="00A97450">
      <w:pPr>
        <w:numPr>
          <w:ilvl w:val="0"/>
          <w:numId w:val="3"/>
        </w:numPr>
        <w:spacing w:after="0" w:line="240" w:lineRule="auto"/>
      </w:pPr>
      <w:r w:rsidRPr="00A97450">
        <w:rPr>
          <w:b/>
          <w:bCs/>
        </w:rPr>
        <w:t>sectoriel</w:t>
      </w:r>
      <w:r w:rsidRPr="00A97450">
        <w:t>.</w:t>
      </w:r>
    </w:p>
    <w:p w14:paraId="624C98E9" w14:textId="4104DFFA" w:rsidR="00A97450" w:rsidRPr="00A97450" w:rsidRDefault="00A97450" w:rsidP="00A97450">
      <w:pPr>
        <w:spacing w:after="0" w:line="240" w:lineRule="auto"/>
      </w:pPr>
      <w:r w:rsidRPr="00A97450">
        <w:lastRenderedPageBreak/>
        <w:t xml:space="preserve">Il ne faut toutefois pas représenter ces niveaux comme une simple pyramide dans laquelle les IFRS seraient systématiquement </w:t>
      </w:r>
      <w:r>
        <w:t>« </w:t>
      </w:r>
      <w:r w:rsidRPr="00A97450">
        <w:t>supérieures</w:t>
      </w:r>
      <w:r>
        <w:t> »</w:t>
      </w:r>
      <w:r w:rsidRPr="00A97450">
        <w:t xml:space="preserve"> au PCG. </w:t>
      </w:r>
      <w:r w:rsidRPr="00A97450">
        <w:rPr>
          <w:b/>
          <w:bCs/>
        </w:rPr>
        <w:t>Le référentiel applicable dépend de la nature de l’entité et des comptes concernés.</w:t>
      </w:r>
    </w:p>
    <w:p w14:paraId="2F9318CF" w14:textId="77777777" w:rsidR="00A97450" w:rsidRPr="00A97450" w:rsidRDefault="00A97450" w:rsidP="00A97450">
      <w:pPr>
        <w:spacing w:after="0" w:line="240" w:lineRule="auto"/>
      </w:pPr>
      <w:r w:rsidRPr="00A97450">
        <w:pict w14:anchorId="012740BE">
          <v:rect id="_x0000_i3300" style="width:0;height:1.5pt" o:hralign="center" o:hrstd="t" o:hr="t" fillcolor="#a0a0a0" stroked="f"/>
        </w:pict>
      </w:r>
    </w:p>
    <w:p w14:paraId="392B81D6" w14:textId="77777777" w:rsidR="00A97450" w:rsidRPr="00A97450" w:rsidRDefault="00A97450" w:rsidP="00A97450">
      <w:pPr>
        <w:pStyle w:val="Titre1"/>
      </w:pPr>
      <w:r w:rsidRPr="00A97450">
        <w:t>3. La normalisation comptable en France</w:t>
      </w:r>
    </w:p>
    <w:p w14:paraId="5520B0E7" w14:textId="74040E7F" w:rsidR="00A97450" w:rsidRPr="00A97450" w:rsidRDefault="00A97450" w:rsidP="00A97450">
      <w:pPr>
        <w:spacing w:after="0" w:line="240" w:lineRule="auto"/>
        <w:rPr>
          <w:b/>
          <w:bCs/>
        </w:rPr>
      </w:pPr>
      <w:r w:rsidRPr="00A97450">
        <w:rPr>
          <w:b/>
          <w:bCs/>
        </w:rPr>
        <w:t xml:space="preserve">3.1 L’Autorité des normes comptables </w:t>
      </w:r>
      <w:r>
        <w:rPr>
          <w:b/>
          <w:bCs/>
        </w:rPr>
        <w:t>-</w:t>
      </w:r>
      <w:r w:rsidRPr="00A97450">
        <w:rPr>
          <w:b/>
          <w:bCs/>
        </w:rPr>
        <w:t xml:space="preserve"> ANC</w:t>
      </w:r>
    </w:p>
    <w:p w14:paraId="622F76AA" w14:textId="77777777" w:rsidR="00A97450" w:rsidRPr="00A97450" w:rsidRDefault="00A97450" w:rsidP="00A97450">
      <w:pPr>
        <w:spacing w:after="0" w:line="240" w:lineRule="auto"/>
      </w:pPr>
      <w:r w:rsidRPr="00A97450">
        <w:t>L’</w:t>
      </w:r>
      <w:r w:rsidRPr="00A97450">
        <w:rPr>
          <w:b/>
          <w:bCs/>
        </w:rPr>
        <w:t>ANC (Autorité des normes comptables)</w:t>
      </w:r>
      <w:r w:rsidRPr="00A97450">
        <w:t xml:space="preserve"> est le normalisateur comptable français pour les entités relevant de la comptabilité privée.</w:t>
      </w:r>
    </w:p>
    <w:p w14:paraId="51E85569" w14:textId="77777777" w:rsidR="00A97450" w:rsidRPr="00A97450" w:rsidRDefault="00A97450" w:rsidP="00A97450">
      <w:pPr>
        <w:spacing w:after="0" w:line="240" w:lineRule="auto"/>
      </w:pPr>
      <w:r w:rsidRPr="00A97450">
        <w:t>Elle établit notamment des prescriptions comptables générales et sectorielles sous forme de règlements et participe aux travaux internationaux de normalisation.</w:t>
      </w:r>
    </w:p>
    <w:p w14:paraId="59218E6F" w14:textId="77777777" w:rsidR="00A97450" w:rsidRPr="00A97450" w:rsidRDefault="00A97450" w:rsidP="00A97450">
      <w:pPr>
        <w:spacing w:after="0" w:line="240" w:lineRule="auto"/>
        <w:rPr>
          <w:b/>
          <w:bCs/>
        </w:rPr>
      </w:pPr>
      <w:r w:rsidRPr="00A97450">
        <w:rPr>
          <w:b/>
          <w:bCs/>
        </w:rPr>
        <w:t>Principales missions de l’ANC</w:t>
      </w:r>
    </w:p>
    <w:p w14:paraId="77622ABD" w14:textId="6A7C87DA" w:rsidR="00A97450" w:rsidRPr="00A97450" w:rsidRDefault="00A97450">
      <w:pPr>
        <w:numPr>
          <w:ilvl w:val="0"/>
          <w:numId w:val="4"/>
        </w:numPr>
        <w:spacing w:after="0" w:line="240" w:lineRule="auto"/>
      </w:pPr>
      <w:r w:rsidRPr="00A97450">
        <w:t>élaborer la réglementation comptable française</w:t>
      </w:r>
      <w:r>
        <w:t> ;</w:t>
      </w:r>
    </w:p>
    <w:p w14:paraId="0C0E7C84" w14:textId="031F3FEB" w:rsidR="00A97450" w:rsidRPr="00A97450" w:rsidRDefault="00A97450">
      <w:pPr>
        <w:numPr>
          <w:ilvl w:val="0"/>
          <w:numId w:val="4"/>
        </w:numPr>
        <w:spacing w:after="0" w:line="240" w:lineRule="auto"/>
      </w:pPr>
      <w:r w:rsidRPr="00A97450">
        <w:t>adopter des règlements comptables</w:t>
      </w:r>
      <w:r>
        <w:t> ;</w:t>
      </w:r>
    </w:p>
    <w:p w14:paraId="22CB7E24" w14:textId="1BB38E29" w:rsidR="00A97450" w:rsidRPr="00A97450" w:rsidRDefault="00A97450">
      <w:pPr>
        <w:numPr>
          <w:ilvl w:val="0"/>
          <w:numId w:val="4"/>
        </w:numPr>
        <w:spacing w:after="0" w:line="240" w:lineRule="auto"/>
      </w:pPr>
      <w:r w:rsidRPr="00A97450">
        <w:t>produire des avis et prises de position</w:t>
      </w:r>
      <w:r>
        <w:t> ;</w:t>
      </w:r>
    </w:p>
    <w:p w14:paraId="73B2E8AB" w14:textId="7F190114" w:rsidR="00A97450" w:rsidRPr="00A97450" w:rsidRDefault="00A97450">
      <w:pPr>
        <w:numPr>
          <w:ilvl w:val="0"/>
          <w:numId w:val="4"/>
        </w:numPr>
        <w:spacing w:after="0" w:line="240" w:lineRule="auto"/>
      </w:pPr>
      <w:r w:rsidRPr="00A97450">
        <w:t>participer à l’élaboration de la normalisation comptable internationale</w:t>
      </w:r>
      <w:r>
        <w:t> ;</w:t>
      </w:r>
    </w:p>
    <w:p w14:paraId="3194CDCD" w14:textId="4BC32066" w:rsidR="00A97450" w:rsidRPr="00A97450" w:rsidRDefault="00A97450">
      <w:pPr>
        <w:numPr>
          <w:ilvl w:val="0"/>
          <w:numId w:val="4"/>
        </w:numPr>
        <w:spacing w:after="0" w:line="240" w:lineRule="auto"/>
      </w:pPr>
      <w:r w:rsidRPr="00A97450">
        <w:t>contribuer aux travaux européens</w:t>
      </w:r>
      <w:r>
        <w:t> ;</w:t>
      </w:r>
    </w:p>
    <w:p w14:paraId="34A7F7AE" w14:textId="77777777" w:rsidR="00A97450" w:rsidRPr="00A97450" w:rsidRDefault="00A97450">
      <w:pPr>
        <w:numPr>
          <w:ilvl w:val="0"/>
          <w:numId w:val="4"/>
        </w:numPr>
        <w:spacing w:after="0" w:line="240" w:lineRule="auto"/>
      </w:pPr>
      <w:r w:rsidRPr="00A97450">
        <w:t>élaborer également des normes et positions dans certains domaines sectoriels et, désormais, dans le domaine de l’information de durabilité.</w:t>
      </w:r>
    </w:p>
    <w:p w14:paraId="2AD5AF9F" w14:textId="3AD14B0D" w:rsidR="00A97450" w:rsidRPr="00A97450" w:rsidRDefault="00A97450" w:rsidP="00A97450">
      <w:pPr>
        <w:spacing w:after="0" w:line="240" w:lineRule="auto"/>
        <w:rPr>
          <w:b/>
          <w:bCs/>
        </w:rPr>
      </w:pPr>
      <w:r w:rsidRPr="00A97450">
        <w:rPr>
          <w:b/>
          <w:bCs/>
        </w:rPr>
        <w:t xml:space="preserve">3.2 Le Plan comptable général </w:t>
      </w:r>
      <w:r>
        <w:rPr>
          <w:b/>
          <w:bCs/>
        </w:rPr>
        <w:t>-</w:t>
      </w:r>
      <w:r w:rsidRPr="00A97450">
        <w:rPr>
          <w:b/>
          <w:bCs/>
        </w:rPr>
        <w:t xml:space="preserve"> PCG</w:t>
      </w:r>
    </w:p>
    <w:p w14:paraId="62BF1F55" w14:textId="77777777" w:rsidR="00A97450" w:rsidRPr="00A97450" w:rsidRDefault="00A97450" w:rsidP="00A97450">
      <w:pPr>
        <w:spacing w:after="0" w:line="240" w:lineRule="auto"/>
      </w:pPr>
      <w:r w:rsidRPr="00A97450">
        <w:t xml:space="preserve">Le </w:t>
      </w:r>
      <w:r w:rsidRPr="00A97450">
        <w:rPr>
          <w:b/>
          <w:bCs/>
        </w:rPr>
        <w:t>Plan comptable général (PCG)</w:t>
      </w:r>
      <w:r w:rsidRPr="00A97450">
        <w:t xml:space="preserve"> constitue le référentiel comptable général applicable aux entités entrant dans son champ d’application.</w:t>
      </w:r>
    </w:p>
    <w:p w14:paraId="5921DF09" w14:textId="77777777" w:rsidR="00A97450" w:rsidRPr="00A97450" w:rsidRDefault="00A97450" w:rsidP="00A97450">
      <w:pPr>
        <w:spacing w:after="0" w:line="240" w:lineRule="auto"/>
      </w:pPr>
      <w:r w:rsidRPr="00A97450">
        <w:t xml:space="preserve">En 2026, il s’agit toujours du </w:t>
      </w:r>
      <w:r w:rsidRPr="00A97450">
        <w:rPr>
          <w:b/>
          <w:bCs/>
        </w:rPr>
        <w:t>règlement ANC n° 2014-03</w:t>
      </w:r>
      <w:r w:rsidRPr="00A97450">
        <w:t>, dans sa version consolidée au 1er janvier 2026.</w:t>
      </w:r>
    </w:p>
    <w:p w14:paraId="03765056" w14:textId="61D79E34" w:rsidR="00A97450" w:rsidRPr="00A97450" w:rsidRDefault="00A97450" w:rsidP="00A97450">
      <w:pPr>
        <w:spacing w:after="0" w:line="240" w:lineRule="auto"/>
      </w:pPr>
      <w:r w:rsidRPr="00A97450">
        <w:t>Le PCG comprend notamment</w:t>
      </w:r>
      <w:r>
        <w:t> :</w:t>
      </w:r>
    </w:p>
    <w:p w14:paraId="6CF4B494" w14:textId="0A0E7679" w:rsidR="00A97450" w:rsidRPr="00A97450" w:rsidRDefault="00A97450">
      <w:pPr>
        <w:numPr>
          <w:ilvl w:val="0"/>
          <w:numId w:val="5"/>
        </w:numPr>
        <w:spacing w:after="0" w:line="240" w:lineRule="auto"/>
      </w:pPr>
      <w:r w:rsidRPr="00A97450">
        <w:t>les principes généraux</w:t>
      </w:r>
      <w:r>
        <w:t> ;</w:t>
      </w:r>
    </w:p>
    <w:p w14:paraId="02C07A98" w14:textId="26E2E9ED" w:rsidR="00A97450" w:rsidRPr="00A97450" w:rsidRDefault="00A97450">
      <w:pPr>
        <w:numPr>
          <w:ilvl w:val="0"/>
          <w:numId w:val="5"/>
        </w:numPr>
        <w:spacing w:after="0" w:line="240" w:lineRule="auto"/>
      </w:pPr>
      <w:r w:rsidRPr="00A97450">
        <w:t>les règles de comptabilisation</w:t>
      </w:r>
      <w:r>
        <w:t> ;</w:t>
      </w:r>
    </w:p>
    <w:p w14:paraId="2D2BD131" w14:textId="0DA4CF89" w:rsidR="00A97450" w:rsidRPr="00A97450" w:rsidRDefault="00A97450">
      <w:pPr>
        <w:numPr>
          <w:ilvl w:val="0"/>
          <w:numId w:val="5"/>
        </w:numPr>
        <w:spacing w:after="0" w:line="240" w:lineRule="auto"/>
      </w:pPr>
      <w:r w:rsidRPr="00A97450">
        <w:t>les règles d’évaluation</w:t>
      </w:r>
      <w:r>
        <w:t> ;</w:t>
      </w:r>
    </w:p>
    <w:p w14:paraId="05051295" w14:textId="3C1B166B" w:rsidR="00A97450" w:rsidRPr="00A97450" w:rsidRDefault="00A97450">
      <w:pPr>
        <w:numPr>
          <w:ilvl w:val="0"/>
          <w:numId w:val="5"/>
        </w:numPr>
        <w:spacing w:after="0" w:line="240" w:lineRule="auto"/>
      </w:pPr>
      <w:r w:rsidRPr="00A97450">
        <w:t>les dispositions concernant les actifs, passifs, charges et produits</w:t>
      </w:r>
      <w:r>
        <w:t> ;</w:t>
      </w:r>
    </w:p>
    <w:p w14:paraId="2EA69713" w14:textId="5692505C" w:rsidR="00A97450" w:rsidRPr="00A97450" w:rsidRDefault="00A97450">
      <w:pPr>
        <w:numPr>
          <w:ilvl w:val="0"/>
          <w:numId w:val="5"/>
        </w:numPr>
        <w:spacing w:after="0" w:line="240" w:lineRule="auto"/>
      </w:pPr>
      <w:r w:rsidRPr="00A97450">
        <w:t>les modèles de comptes annuels</w:t>
      </w:r>
      <w:r>
        <w:t> ;</w:t>
      </w:r>
    </w:p>
    <w:p w14:paraId="47FE8F8A" w14:textId="183148A2" w:rsidR="00A97450" w:rsidRPr="00A97450" w:rsidRDefault="00A97450">
      <w:pPr>
        <w:numPr>
          <w:ilvl w:val="0"/>
          <w:numId w:val="5"/>
        </w:numPr>
        <w:spacing w:after="0" w:line="240" w:lineRule="auto"/>
      </w:pPr>
      <w:r w:rsidRPr="00A97450">
        <w:t>les règles relatives à l’annexe</w:t>
      </w:r>
      <w:r>
        <w:t> ;</w:t>
      </w:r>
    </w:p>
    <w:p w14:paraId="0BD58098" w14:textId="0DEAFD47" w:rsidR="00A97450" w:rsidRPr="00A97450" w:rsidRDefault="00A97450">
      <w:pPr>
        <w:numPr>
          <w:ilvl w:val="0"/>
          <w:numId w:val="5"/>
        </w:numPr>
        <w:spacing w:after="0" w:line="240" w:lineRule="auto"/>
      </w:pPr>
      <w:r w:rsidRPr="00A97450">
        <w:t>l’organisation de la comptabilité</w:t>
      </w:r>
      <w:r>
        <w:t> ;</w:t>
      </w:r>
    </w:p>
    <w:p w14:paraId="18B30A6F" w14:textId="163B6EF3" w:rsidR="00A97450" w:rsidRPr="00A97450" w:rsidRDefault="00A97450">
      <w:pPr>
        <w:numPr>
          <w:ilvl w:val="0"/>
          <w:numId w:val="5"/>
        </w:numPr>
        <w:spacing w:after="0" w:line="240" w:lineRule="auto"/>
      </w:pPr>
      <w:r w:rsidRPr="00A97450">
        <w:t>le plan de comptes</w:t>
      </w:r>
      <w:r>
        <w:t> ;</w:t>
      </w:r>
    </w:p>
    <w:p w14:paraId="27A3F52E" w14:textId="77777777" w:rsidR="00A97450" w:rsidRPr="00A97450" w:rsidRDefault="00A97450">
      <w:pPr>
        <w:numPr>
          <w:ilvl w:val="0"/>
          <w:numId w:val="5"/>
        </w:numPr>
        <w:spacing w:after="0" w:line="240" w:lineRule="auto"/>
      </w:pPr>
      <w:r w:rsidRPr="00A97450">
        <w:t>le fonctionnement des comptes.</w:t>
      </w:r>
    </w:p>
    <w:p w14:paraId="5801A9AB" w14:textId="77777777" w:rsidR="00A97450" w:rsidRPr="00A97450" w:rsidRDefault="00A97450" w:rsidP="00A97450">
      <w:pPr>
        <w:spacing w:after="0" w:line="240" w:lineRule="auto"/>
        <w:rPr>
          <w:b/>
          <w:bCs/>
        </w:rPr>
      </w:pPr>
      <w:r w:rsidRPr="00A97450">
        <w:rPr>
          <w:b/>
          <w:bCs/>
        </w:rPr>
        <w:t>Attention</w:t>
      </w:r>
    </w:p>
    <w:p w14:paraId="52D6FBA8" w14:textId="77777777" w:rsidR="00A97450" w:rsidRPr="00A97450" w:rsidRDefault="00A97450" w:rsidP="00A97450">
      <w:pPr>
        <w:spacing w:after="0" w:line="240" w:lineRule="auto"/>
      </w:pPr>
      <w:r w:rsidRPr="00A97450">
        <w:t xml:space="preserve">Le </w:t>
      </w:r>
      <w:r w:rsidRPr="00A97450">
        <w:rPr>
          <w:b/>
          <w:bCs/>
        </w:rPr>
        <w:t>PCG n’est pas seulement une liste de numéros de comptes</w:t>
      </w:r>
      <w:r w:rsidRPr="00A97450">
        <w:t>.</w:t>
      </w:r>
    </w:p>
    <w:p w14:paraId="1C814382" w14:textId="77777777" w:rsidR="00A97450" w:rsidRPr="00A97450" w:rsidRDefault="00A97450" w:rsidP="00A97450">
      <w:pPr>
        <w:spacing w:after="0" w:line="240" w:lineRule="auto"/>
      </w:pPr>
      <w:r w:rsidRPr="00A97450">
        <w:t xml:space="preserve">La nomenclature n’en constitue qu’une partie. Le PCG contient surtout les règles permettant de déterminer </w:t>
      </w:r>
      <w:r w:rsidRPr="00A97450">
        <w:rPr>
          <w:b/>
          <w:bCs/>
        </w:rPr>
        <w:t>si, quand, comment et pour quel montant une opération doit être comptabilisée</w:t>
      </w:r>
      <w:r w:rsidRPr="00A97450">
        <w:t>.</w:t>
      </w:r>
    </w:p>
    <w:p w14:paraId="2607A626" w14:textId="77777777" w:rsidR="00A97450" w:rsidRPr="00A97450" w:rsidRDefault="00A97450" w:rsidP="00A97450">
      <w:pPr>
        <w:spacing w:after="0" w:line="240" w:lineRule="auto"/>
      </w:pPr>
      <w:r w:rsidRPr="00A97450">
        <w:t>Le rapport du jury insiste d’ailleurs sur la nécessité de maîtriser les principes, la normalisation et les sources du droit comptable pour être capable de justifier les traitements et non d’apprendre seulement un plan de comptes.</w:t>
      </w:r>
    </w:p>
    <w:p w14:paraId="0E7DC411" w14:textId="77777777" w:rsidR="00A97450" w:rsidRPr="00A97450" w:rsidRDefault="00A97450" w:rsidP="00A97450">
      <w:pPr>
        <w:spacing w:after="0" w:line="240" w:lineRule="auto"/>
      </w:pPr>
      <w:r w:rsidRPr="00A97450">
        <w:pict w14:anchorId="59EB5B57">
          <v:rect id="_x0000_i3301" style="width:0;height:1.5pt" o:hralign="center" o:hrstd="t" o:hr="t" fillcolor="#a0a0a0" stroked="f"/>
        </w:pict>
      </w:r>
    </w:p>
    <w:p w14:paraId="09D785DD" w14:textId="77777777" w:rsidR="00A97450" w:rsidRPr="00A97450" w:rsidRDefault="00A97450" w:rsidP="00A97450">
      <w:pPr>
        <w:pStyle w:val="Titre1"/>
      </w:pPr>
      <w:r w:rsidRPr="00A97450">
        <w:t>4. Le Recueil des normes comptables françaises</w:t>
      </w:r>
    </w:p>
    <w:p w14:paraId="2C371FEA" w14:textId="77777777" w:rsidR="00A97450" w:rsidRPr="00A97450" w:rsidRDefault="00A97450" w:rsidP="00A97450">
      <w:pPr>
        <w:spacing w:after="0" w:line="240" w:lineRule="auto"/>
      </w:pPr>
      <w:r w:rsidRPr="00A97450">
        <w:t xml:space="preserve">L’ANC publie un </w:t>
      </w:r>
      <w:r w:rsidRPr="00A97450">
        <w:rPr>
          <w:b/>
          <w:bCs/>
        </w:rPr>
        <w:t>Recueil des normes comptables françaises</w:t>
      </w:r>
      <w:r w:rsidRPr="00A97450">
        <w:t>.</w:t>
      </w:r>
    </w:p>
    <w:p w14:paraId="59D0296D" w14:textId="6AB442C5" w:rsidR="00A97450" w:rsidRPr="00A97450" w:rsidRDefault="00A97450" w:rsidP="00A97450">
      <w:pPr>
        <w:spacing w:after="0" w:line="240" w:lineRule="auto"/>
      </w:pPr>
      <w:r w:rsidRPr="00A97450">
        <w:t>Le référentiel demande expressément de savoir</w:t>
      </w:r>
      <w:r>
        <w:t> :</w:t>
      </w:r>
    </w:p>
    <w:p w14:paraId="21D21723" w14:textId="2E035B37" w:rsidR="00A97450" w:rsidRPr="00A97450" w:rsidRDefault="00A97450">
      <w:pPr>
        <w:numPr>
          <w:ilvl w:val="0"/>
          <w:numId w:val="6"/>
        </w:numPr>
        <w:spacing w:after="0" w:line="240" w:lineRule="auto"/>
      </w:pPr>
      <w:r w:rsidRPr="00A97450">
        <w:t>le caractériser</w:t>
      </w:r>
      <w:r>
        <w:t> ;</w:t>
      </w:r>
    </w:p>
    <w:p w14:paraId="13CE59B5" w14:textId="134AA0E1" w:rsidR="00A97450" w:rsidRPr="00A97450" w:rsidRDefault="00A97450">
      <w:pPr>
        <w:numPr>
          <w:ilvl w:val="0"/>
          <w:numId w:val="6"/>
        </w:numPr>
        <w:spacing w:after="0" w:line="240" w:lineRule="auto"/>
      </w:pPr>
      <w:r w:rsidRPr="00A97450">
        <w:t>rappeler son contenu</w:t>
      </w:r>
      <w:r>
        <w:t> ;</w:t>
      </w:r>
    </w:p>
    <w:p w14:paraId="6E542CDF" w14:textId="77777777" w:rsidR="00A97450" w:rsidRPr="00A97450" w:rsidRDefault="00A97450">
      <w:pPr>
        <w:numPr>
          <w:ilvl w:val="0"/>
          <w:numId w:val="6"/>
        </w:numPr>
        <w:spacing w:after="0" w:line="240" w:lineRule="auto"/>
      </w:pPr>
      <w:r w:rsidRPr="00A97450">
        <w:t>le distinguer du simple plan de comptes.</w:t>
      </w:r>
    </w:p>
    <w:p w14:paraId="2E4A6917" w14:textId="60665F39" w:rsidR="00A97450" w:rsidRPr="00A97450" w:rsidRDefault="00A97450" w:rsidP="00A97450">
      <w:pPr>
        <w:spacing w:after="0" w:line="240" w:lineRule="auto"/>
      </w:pPr>
      <w:r w:rsidRPr="00A97450">
        <w:t>Le recueil permet de présenter de manière organisée</w:t>
      </w:r>
      <w:r>
        <w:t> :</w:t>
      </w:r>
    </w:p>
    <w:p w14:paraId="77AE576B" w14:textId="7DD06009" w:rsidR="00A97450" w:rsidRPr="00A97450" w:rsidRDefault="00A97450">
      <w:pPr>
        <w:numPr>
          <w:ilvl w:val="0"/>
          <w:numId w:val="7"/>
        </w:numPr>
        <w:spacing w:after="0" w:line="240" w:lineRule="auto"/>
      </w:pPr>
      <w:r w:rsidRPr="00A97450">
        <w:t>les dispositions réglementaires applicables</w:t>
      </w:r>
      <w:r>
        <w:t> ;</w:t>
      </w:r>
    </w:p>
    <w:p w14:paraId="765C8952" w14:textId="4F2952BC" w:rsidR="00A97450" w:rsidRPr="00A97450" w:rsidRDefault="00A97450">
      <w:pPr>
        <w:numPr>
          <w:ilvl w:val="0"/>
          <w:numId w:val="7"/>
        </w:numPr>
        <w:spacing w:after="0" w:line="240" w:lineRule="auto"/>
      </w:pPr>
      <w:r w:rsidRPr="00A97450">
        <w:t>les règles issues du PCG</w:t>
      </w:r>
      <w:r>
        <w:t> ;</w:t>
      </w:r>
    </w:p>
    <w:p w14:paraId="570D0CE4" w14:textId="77777777" w:rsidR="00A97450" w:rsidRPr="00A97450" w:rsidRDefault="00A97450">
      <w:pPr>
        <w:numPr>
          <w:ilvl w:val="0"/>
          <w:numId w:val="7"/>
        </w:numPr>
        <w:spacing w:after="0" w:line="240" w:lineRule="auto"/>
      </w:pPr>
      <w:r w:rsidRPr="00A97450">
        <w:t>les commentaires et éléments permettant d’en faciliter la compréhension.</w:t>
      </w:r>
    </w:p>
    <w:p w14:paraId="2AB47BA5" w14:textId="6A6D9721" w:rsidR="00A97450" w:rsidRPr="00A97450" w:rsidRDefault="00A97450" w:rsidP="00A97450">
      <w:pPr>
        <w:spacing w:after="0" w:line="240" w:lineRule="auto"/>
      </w:pPr>
      <w:r w:rsidRPr="00A97450">
        <w:lastRenderedPageBreak/>
        <w:t xml:space="preserve">Le </w:t>
      </w:r>
      <w:r w:rsidRPr="00A97450">
        <w:rPr>
          <w:b/>
          <w:bCs/>
        </w:rPr>
        <w:t>PCG</w:t>
      </w:r>
      <w:r w:rsidRPr="00A97450">
        <w:t xml:space="preserve"> constitue le règlement comptable</w:t>
      </w:r>
      <w:r>
        <w:t> ;</w:t>
      </w:r>
      <w:r w:rsidRPr="00A97450">
        <w:t xml:space="preserve"> le </w:t>
      </w:r>
      <w:r w:rsidRPr="00A97450">
        <w:rPr>
          <w:b/>
          <w:bCs/>
        </w:rPr>
        <w:t>recueil</w:t>
      </w:r>
      <w:r w:rsidRPr="00A97450">
        <w:t xml:space="preserve"> constitue un support plus large permettant d’accéder aux normes françaises et à leur environnement documentaire. L’ANC publie parallèlement le PCG et le plan de comptes dans leurs versions actualisées.</w:t>
      </w:r>
    </w:p>
    <w:p w14:paraId="68F8233C" w14:textId="77777777" w:rsidR="00A97450" w:rsidRPr="00A97450" w:rsidRDefault="00A97450" w:rsidP="00A97450">
      <w:pPr>
        <w:spacing w:after="0" w:line="240" w:lineRule="auto"/>
      </w:pPr>
      <w:r w:rsidRPr="00A97450">
        <w:pict w14:anchorId="351BF9CA">
          <v:rect id="_x0000_i3302" style="width:0;height:1.5pt" o:hralign="center" o:hrstd="t" o:hr="t" fillcolor="#a0a0a0" stroked="f"/>
        </w:pict>
      </w:r>
    </w:p>
    <w:p w14:paraId="126C9AC7" w14:textId="77777777" w:rsidR="00A97450" w:rsidRPr="00A97450" w:rsidRDefault="00A97450" w:rsidP="00A97450">
      <w:pPr>
        <w:pStyle w:val="Titre1"/>
      </w:pPr>
      <w:r w:rsidRPr="00A97450">
        <w:t>5. Les sources du droit comptable français</w:t>
      </w:r>
    </w:p>
    <w:p w14:paraId="6B7A7FEF" w14:textId="786D66F7" w:rsidR="00A97450" w:rsidRPr="00A97450" w:rsidRDefault="00A97450" w:rsidP="00A97450">
      <w:pPr>
        <w:spacing w:after="0" w:line="240" w:lineRule="auto"/>
      </w:pPr>
      <w:r w:rsidRPr="00A97450">
        <w:t xml:space="preserve">Le fichier source présentait une </w:t>
      </w:r>
      <w:r>
        <w:t>« </w:t>
      </w:r>
      <w:r w:rsidRPr="00A97450">
        <w:t>hiérarchie</w:t>
      </w:r>
      <w:r>
        <w:t> »</w:t>
      </w:r>
      <w:r w:rsidRPr="00A97450">
        <w:t xml:space="preserve"> simplifiée.</w:t>
      </w:r>
    </w:p>
    <w:p w14:paraId="558AE424" w14:textId="48590875" w:rsidR="00A97450" w:rsidRPr="00A97450" w:rsidRDefault="00A97450" w:rsidP="00A97450">
      <w:pPr>
        <w:spacing w:after="0" w:line="240" w:lineRule="auto"/>
      </w:pPr>
      <w:r w:rsidRPr="00A97450">
        <w:t>Il faut la comprendre avec précision</w:t>
      </w:r>
      <w:r>
        <w:t> :</w:t>
      </w:r>
      <w:r w:rsidRPr="00A97450">
        <w:t xml:space="preserve"> les règles européennes, les dispositions législatives françaises et les règlements de l’ANC s’articulent entre elles, tandis que les normes IFRS ne s’appliquent en France que dans les situations prévues par le droit européen et le droit français.</w:t>
      </w:r>
    </w:p>
    <w:p w14:paraId="4C5F1DB5" w14:textId="77777777" w:rsidR="00A97450" w:rsidRPr="00A97450" w:rsidRDefault="00A97450" w:rsidP="00A97450">
      <w:pPr>
        <w:spacing w:after="0" w:line="240" w:lineRule="auto"/>
        <w:rPr>
          <w:b/>
          <w:bCs/>
        </w:rPr>
      </w:pPr>
      <w:r w:rsidRPr="00A97450">
        <w:rPr>
          <w:b/>
          <w:bCs/>
        </w:rPr>
        <w:t>5.1 Le droit de l’Union européenne</w:t>
      </w:r>
    </w:p>
    <w:p w14:paraId="7803806B" w14:textId="77D82B23" w:rsidR="00A97450" w:rsidRPr="00A97450" w:rsidRDefault="00A97450" w:rsidP="00A97450">
      <w:pPr>
        <w:spacing w:after="0" w:line="240" w:lineRule="auto"/>
      </w:pPr>
      <w:r w:rsidRPr="00A97450">
        <w:t>Il comprend notamment</w:t>
      </w:r>
      <w:r>
        <w:t> :</w:t>
      </w:r>
    </w:p>
    <w:p w14:paraId="396276A4" w14:textId="3A7374D6" w:rsidR="00A97450" w:rsidRPr="00A97450" w:rsidRDefault="00A97450">
      <w:pPr>
        <w:numPr>
          <w:ilvl w:val="0"/>
          <w:numId w:val="8"/>
        </w:numPr>
        <w:spacing w:after="0" w:line="240" w:lineRule="auto"/>
      </w:pPr>
      <w:r w:rsidRPr="00A97450">
        <w:t xml:space="preserve">les </w:t>
      </w:r>
      <w:r w:rsidRPr="00A97450">
        <w:rPr>
          <w:b/>
          <w:bCs/>
        </w:rPr>
        <w:t>règlements européens</w:t>
      </w:r>
      <w:r w:rsidRPr="00A97450">
        <w:t>, directement applicables</w:t>
      </w:r>
      <w:r>
        <w:t> ;</w:t>
      </w:r>
    </w:p>
    <w:p w14:paraId="116E4F77" w14:textId="77777777" w:rsidR="00A97450" w:rsidRPr="00A97450" w:rsidRDefault="00A97450">
      <w:pPr>
        <w:numPr>
          <w:ilvl w:val="0"/>
          <w:numId w:val="8"/>
        </w:numPr>
        <w:spacing w:after="0" w:line="240" w:lineRule="auto"/>
      </w:pPr>
      <w:r w:rsidRPr="00A97450">
        <w:t xml:space="preserve">les </w:t>
      </w:r>
      <w:r w:rsidRPr="00A97450">
        <w:rPr>
          <w:b/>
          <w:bCs/>
        </w:rPr>
        <w:t>directives</w:t>
      </w:r>
      <w:r w:rsidRPr="00A97450">
        <w:t>, qui doivent être transposées dans le droit national.</w:t>
      </w:r>
    </w:p>
    <w:p w14:paraId="4FEB528F" w14:textId="77777777" w:rsidR="00A97450" w:rsidRPr="00A97450" w:rsidRDefault="00A97450" w:rsidP="00A97450">
      <w:pPr>
        <w:spacing w:after="0" w:line="240" w:lineRule="auto"/>
      </w:pPr>
      <w:r w:rsidRPr="00A97450">
        <w:t>En matière IFRS, le règlement européen n° 1606/2002 organise l’utilisation des normes comptables internationales dans l’Union européenne. Les normes IFRS adoptées dans l’Union sont aujourd’hui regroupées notamment par le règlement (UE) 2023/1803, régulièrement modifié lors de nouvelles adoptions.</w:t>
      </w:r>
    </w:p>
    <w:p w14:paraId="11CB18FC" w14:textId="77777777" w:rsidR="00A97450" w:rsidRPr="00A97450" w:rsidRDefault="00A97450" w:rsidP="00A97450">
      <w:pPr>
        <w:spacing w:after="0" w:line="240" w:lineRule="auto"/>
        <w:rPr>
          <w:b/>
          <w:bCs/>
        </w:rPr>
      </w:pPr>
      <w:r w:rsidRPr="00A97450">
        <w:rPr>
          <w:b/>
          <w:bCs/>
        </w:rPr>
        <w:t>5.2 Le Code de commerce</w:t>
      </w:r>
    </w:p>
    <w:p w14:paraId="378A37A4" w14:textId="6CBF43A2" w:rsidR="00A97450" w:rsidRPr="00A97450" w:rsidRDefault="00A97450" w:rsidP="00A97450">
      <w:pPr>
        <w:spacing w:after="0" w:line="240" w:lineRule="auto"/>
      </w:pPr>
      <w:r w:rsidRPr="00A97450">
        <w:t>Le Code de commerce fixe des obligations essentielles relatives</w:t>
      </w:r>
      <w:r>
        <w:t> :</w:t>
      </w:r>
    </w:p>
    <w:p w14:paraId="4C855BFB" w14:textId="540508C3" w:rsidR="00A97450" w:rsidRPr="00A97450" w:rsidRDefault="00A97450">
      <w:pPr>
        <w:numPr>
          <w:ilvl w:val="0"/>
          <w:numId w:val="9"/>
        </w:numPr>
        <w:spacing w:after="0" w:line="240" w:lineRule="auto"/>
      </w:pPr>
      <w:r w:rsidRPr="00A97450">
        <w:t>à la tenue de la comptabilité</w:t>
      </w:r>
      <w:r>
        <w:t> ;</w:t>
      </w:r>
    </w:p>
    <w:p w14:paraId="33267803" w14:textId="62D38A65" w:rsidR="00A97450" w:rsidRPr="00A97450" w:rsidRDefault="00A97450">
      <w:pPr>
        <w:numPr>
          <w:ilvl w:val="0"/>
          <w:numId w:val="9"/>
        </w:numPr>
        <w:spacing w:after="0" w:line="240" w:lineRule="auto"/>
      </w:pPr>
      <w:r w:rsidRPr="00A97450">
        <w:t>aux comptes annuels</w:t>
      </w:r>
      <w:r>
        <w:t> ;</w:t>
      </w:r>
    </w:p>
    <w:p w14:paraId="65D6DE09" w14:textId="56E0D6C0" w:rsidR="00A97450" w:rsidRPr="00A97450" w:rsidRDefault="00A97450">
      <w:pPr>
        <w:numPr>
          <w:ilvl w:val="0"/>
          <w:numId w:val="9"/>
        </w:numPr>
        <w:spacing w:after="0" w:line="240" w:lineRule="auto"/>
      </w:pPr>
      <w:r w:rsidRPr="00A97450">
        <w:t>à leur qualité</w:t>
      </w:r>
      <w:r>
        <w:t> ;</w:t>
      </w:r>
    </w:p>
    <w:p w14:paraId="7F10DC07" w14:textId="05B2B7E9" w:rsidR="00A97450" w:rsidRPr="00A97450" w:rsidRDefault="00A97450">
      <w:pPr>
        <w:numPr>
          <w:ilvl w:val="0"/>
          <w:numId w:val="9"/>
        </w:numPr>
        <w:spacing w:after="0" w:line="240" w:lineRule="auto"/>
      </w:pPr>
      <w:r w:rsidRPr="00A97450">
        <w:t>aux méthodes d’évaluation</w:t>
      </w:r>
      <w:r>
        <w:t> ;</w:t>
      </w:r>
    </w:p>
    <w:p w14:paraId="44D5F3CD" w14:textId="77777777" w:rsidR="00A97450" w:rsidRPr="00A97450" w:rsidRDefault="00A97450">
      <w:pPr>
        <w:numPr>
          <w:ilvl w:val="0"/>
          <w:numId w:val="9"/>
        </w:numPr>
        <w:spacing w:after="0" w:line="240" w:lineRule="auto"/>
      </w:pPr>
      <w:r w:rsidRPr="00A97450">
        <w:t>à la permanence des méthodes.</w:t>
      </w:r>
    </w:p>
    <w:p w14:paraId="5EF6D1AB" w14:textId="77777777" w:rsidR="00A97450" w:rsidRPr="00A97450" w:rsidRDefault="00A97450" w:rsidP="00A97450">
      <w:pPr>
        <w:spacing w:after="0" w:line="240" w:lineRule="auto"/>
      </w:pPr>
      <w:r w:rsidRPr="00A97450">
        <w:t xml:space="preserve">Il dispose notamment que les comptes annuels doivent être </w:t>
      </w:r>
      <w:r w:rsidRPr="00A97450">
        <w:rPr>
          <w:b/>
          <w:bCs/>
        </w:rPr>
        <w:t>réguliers, sincères et donner une image fidèle</w:t>
      </w:r>
      <w:r w:rsidRPr="00A97450">
        <w:t xml:space="preserve"> du patrimoine, de la situation financière et du résultat.</w:t>
      </w:r>
    </w:p>
    <w:p w14:paraId="3DD670ED" w14:textId="77777777" w:rsidR="00A97450" w:rsidRPr="00A97450" w:rsidRDefault="00A97450" w:rsidP="00A97450">
      <w:pPr>
        <w:spacing w:after="0" w:line="240" w:lineRule="auto"/>
        <w:rPr>
          <w:b/>
          <w:bCs/>
        </w:rPr>
      </w:pPr>
      <w:r w:rsidRPr="00A97450">
        <w:rPr>
          <w:b/>
          <w:bCs/>
        </w:rPr>
        <w:t>5.3 Les règlements de l’ANC</w:t>
      </w:r>
    </w:p>
    <w:p w14:paraId="66B70BD6" w14:textId="77777777" w:rsidR="00A97450" w:rsidRPr="00A97450" w:rsidRDefault="00A97450" w:rsidP="00A97450">
      <w:pPr>
        <w:spacing w:after="0" w:line="240" w:lineRule="auto"/>
      </w:pPr>
      <w:r w:rsidRPr="00A97450">
        <w:t>Ils précisent les règles comptables françaises.</w:t>
      </w:r>
    </w:p>
    <w:p w14:paraId="174E057C" w14:textId="0021CD3B" w:rsidR="00A97450" w:rsidRPr="00A97450" w:rsidRDefault="00A97450" w:rsidP="00A97450">
      <w:pPr>
        <w:spacing w:after="0" w:line="240" w:lineRule="auto"/>
      </w:pPr>
      <w:r w:rsidRPr="00A97450">
        <w:t>Le PCG résulte du règlement ANC n° 2014-03, régulièrement modifié et consolidé. La réforme introduite notamment par le règlement ANC n° 2022-06 a profondément modifié la présentation du compte de résultat et de l’annexe</w:t>
      </w:r>
      <w:r>
        <w:t> ;</w:t>
      </w:r>
      <w:r w:rsidRPr="00A97450">
        <w:t xml:space="preserve"> elle est intégrée dans les versions actuelles du PCG.</w:t>
      </w:r>
    </w:p>
    <w:p w14:paraId="27351960" w14:textId="77777777" w:rsidR="00A97450" w:rsidRPr="00A97450" w:rsidRDefault="00A97450" w:rsidP="00A97450">
      <w:pPr>
        <w:spacing w:after="0" w:line="240" w:lineRule="auto"/>
      </w:pPr>
      <w:r w:rsidRPr="00A97450">
        <w:pict w14:anchorId="0D4A8FE1">
          <v:rect id="_x0000_i3303" style="width:0;height:1.5pt" o:hralign="center" o:hrstd="t" o:hr="t" fillcolor="#a0a0a0" stroked="f"/>
        </w:pict>
      </w:r>
    </w:p>
    <w:p w14:paraId="3B1B3B9C" w14:textId="77777777" w:rsidR="00A97450" w:rsidRPr="00A97450" w:rsidRDefault="00A97450" w:rsidP="00A97450">
      <w:pPr>
        <w:pStyle w:val="Titre1"/>
      </w:pPr>
      <w:r w:rsidRPr="00A97450">
        <w:t>6. Le cadre conceptuel comptable</w:t>
      </w:r>
    </w:p>
    <w:p w14:paraId="1ECAB14E" w14:textId="77777777" w:rsidR="00A97450" w:rsidRPr="00A97450" w:rsidRDefault="00A97450" w:rsidP="00A97450">
      <w:pPr>
        <w:spacing w:after="0" w:line="240" w:lineRule="auto"/>
        <w:rPr>
          <w:b/>
          <w:bCs/>
        </w:rPr>
      </w:pPr>
      <w:r w:rsidRPr="00A97450">
        <w:rPr>
          <w:b/>
          <w:bCs/>
        </w:rPr>
        <w:t>6.1 Définition</w:t>
      </w:r>
    </w:p>
    <w:p w14:paraId="6100CACF" w14:textId="0ED2A9F2" w:rsidR="00A97450" w:rsidRPr="00A97450" w:rsidRDefault="00A97450" w:rsidP="00A97450">
      <w:pPr>
        <w:spacing w:after="0" w:line="240" w:lineRule="auto"/>
      </w:pPr>
      <w:r w:rsidRPr="00A97450">
        <w:t xml:space="preserve">Un </w:t>
      </w:r>
      <w:r w:rsidRPr="00A97450">
        <w:rPr>
          <w:b/>
          <w:bCs/>
        </w:rPr>
        <w:t>cadre conceptuel</w:t>
      </w:r>
      <w:r w:rsidRPr="00A97450">
        <w:t xml:space="preserve"> est un ensemble cohérent</w:t>
      </w:r>
      <w:r>
        <w:t> :</w:t>
      </w:r>
    </w:p>
    <w:p w14:paraId="7671605B" w14:textId="26BDCF2E" w:rsidR="00A97450" w:rsidRPr="00A97450" w:rsidRDefault="00A97450">
      <w:pPr>
        <w:numPr>
          <w:ilvl w:val="0"/>
          <w:numId w:val="10"/>
        </w:numPr>
        <w:spacing w:after="0" w:line="240" w:lineRule="auto"/>
      </w:pPr>
      <w:r w:rsidRPr="00A97450">
        <w:t>d’objectifs</w:t>
      </w:r>
      <w:r>
        <w:t> ;</w:t>
      </w:r>
    </w:p>
    <w:p w14:paraId="768A783E" w14:textId="5CEF44CF" w:rsidR="00A97450" w:rsidRPr="00A97450" w:rsidRDefault="00A97450">
      <w:pPr>
        <w:numPr>
          <w:ilvl w:val="0"/>
          <w:numId w:val="10"/>
        </w:numPr>
        <w:spacing w:after="0" w:line="240" w:lineRule="auto"/>
      </w:pPr>
      <w:r w:rsidRPr="00A97450">
        <w:t>de concepts</w:t>
      </w:r>
      <w:r>
        <w:t> ;</w:t>
      </w:r>
    </w:p>
    <w:p w14:paraId="3933E606" w14:textId="569033A6" w:rsidR="00A97450" w:rsidRPr="00A97450" w:rsidRDefault="00A97450">
      <w:pPr>
        <w:numPr>
          <w:ilvl w:val="0"/>
          <w:numId w:val="10"/>
        </w:numPr>
        <w:spacing w:after="0" w:line="240" w:lineRule="auto"/>
      </w:pPr>
      <w:r w:rsidRPr="00A97450">
        <w:t>de définitions</w:t>
      </w:r>
      <w:r>
        <w:t> ;</w:t>
      </w:r>
    </w:p>
    <w:p w14:paraId="170C45A1" w14:textId="77777777" w:rsidR="00A97450" w:rsidRPr="00A97450" w:rsidRDefault="00A97450">
      <w:pPr>
        <w:numPr>
          <w:ilvl w:val="0"/>
          <w:numId w:val="10"/>
        </w:numPr>
        <w:spacing w:after="0" w:line="240" w:lineRule="auto"/>
      </w:pPr>
      <w:r w:rsidRPr="00A97450">
        <w:t>de principes,</w:t>
      </w:r>
    </w:p>
    <w:p w14:paraId="4CD7F5F9" w14:textId="77777777" w:rsidR="00A97450" w:rsidRPr="00A97450" w:rsidRDefault="00A97450" w:rsidP="00A97450">
      <w:pPr>
        <w:spacing w:after="0" w:line="240" w:lineRule="auto"/>
      </w:pPr>
      <w:r w:rsidRPr="00A97450">
        <w:t>servant de fondement à l’élaboration et à l’interprétation des normes comptables.</w:t>
      </w:r>
    </w:p>
    <w:p w14:paraId="14042C0C" w14:textId="77777777" w:rsidR="00A97450" w:rsidRPr="00A97450" w:rsidRDefault="00A97450" w:rsidP="00A97450">
      <w:pPr>
        <w:spacing w:after="0" w:line="240" w:lineRule="auto"/>
      </w:pPr>
      <w:r w:rsidRPr="00A97450">
        <w:t xml:space="preserve">Il constitue en quelque sorte la </w:t>
      </w:r>
      <w:r w:rsidRPr="00A97450">
        <w:rPr>
          <w:b/>
          <w:bCs/>
        </w:rPr>
        <w:t>structure intellectuelle du référentiel comptable</w:t>
      </w:r>
      <w:r w:rsidRPr="00A97450">
        <w:t>.</w:t>
      </w:r>
    </w:p>
    <w:p w14:paraId="7F1A92FC" w14:textId="512F7B8B" w:rsidR="00A97450" w:rsidRPr="00A97450" w:rsidRDefault="00A97450" w:rsidP="00A97450">
      <w:pPr>
        <w:spacing w:after="0" w:line="240" w:lineRule="auto"/>
      </w:pPr>
      <w:r w:rsidRPr="00A97450">
        <w:t xml:space="preserve">Le fichier source le présentait à juste titre comme une </w:t>
      </w:r>
      <w:r>
        <w:t>« </w:t>
      </w:r>
      <w:r w:rsidRPr="00A97450">
        <w:t>boussole</w:t>
      </w:r>
      <w:r>
        <w:t> »</w:t>
      </w:r>
      <w:r w:rsidRPr="00A97450">
        <w:t xml:space="preserve"> permettant d’assurer la cohérence des normes.</w:t>
      </w:r>
    </w:p>
    <w:p w14:paraId="3985CA74" w14:textId="4DBC5752" w:rsidR="00A97450" w:rsidRPr="00A97450" w:rsidRDefault="00A97450" w:rsidP="00A97450">
      <w:pPr>
        <w:spacing w:after="0" w:line="240" w:lineRule="auto"/>
        <w:rPr>
          <w:b/>
          <w:bCs/>
        </w:rPr>
      </w:pPr>
      <w:r w:rsidRPr="00A97450">
        <w:rPr>
          <w:b/>
          <w:bCs/>
        </w:rPr>
        <w:t>6.2 À quoi sert-il</w:t>
      </w:r>
      <w:r>
        <w:rPr>
          <w:b/>
          <w:bCs/>
        </w:rPr>
        <w:t> ?</w:t>
      </w:r>
    </w:p>
    <w:p w14:paraId="5CB49630" w14:textId="0025F7BE" w:rsidR="00A97450" w:rsidRPr="00A97450" w:rsidRDefault="00A97450" w:rsidP="00A97450">
      <w:pPr>
        <w:spacing w:after="0" w:line="240" w:lineRule="auto"/>
      </w:pPr>
      <w:r w:rsidRPr="00A97450">
        <w:t>Un cadre conceptuel permet notamment</w:t>
      </w:r>
      <w:r>
        <w:t> :</w:t>
      </w:r>
    </w:p>
    <w:p w14:paraId="16F2854F" w14:textId="0BF43219" w:rsidR="00A97450" w:rsidRPr="00A97450" w:rsidRDefault="00A97450">
      <w:pPr>
        <w:numPr>
          <w:ilvl w:val="0"/>
          <w:numId w:val="11"/>
        </w:numPr>
        <w:spacing w:after="0" w:line="240" w:lineRule="auto"/>
      </w:pPr>
      <w:r w:rsidRPr="00A97450">
        <w:t>de définir les objectifs de l’information financière</w:t>
      </w:r>
      <w:r>
        <w:t> ;</w:t>
      </w:r>
    </w:p>
    <w:p w14:paraId="70F0E151" w14:textId="5C8FD5E5" w:rsidR="00A97450" w:rsidRPr="00A97450" w:rsidRDefault="00A97450">
      <w:pPr>
        <w:numPr>
          <w:ilvl w:val="0"/>
          <w:numId w:val="11"/>
        </w:numPr>
        <w:spacing w:after="0" w:line="240" w:lineRule="auto"/>
      </w:pPr>
      <w:r w:rsidRPr="00A97450">
        <w:t>de déterminer les utilisateurs auxquels elle est destinée</w:t>
      </w:r>
      <w:r>
        <w:t> ;</w:t>
      </w:r>
    </w:p>
    <w:p w14:paraId="6400D46A" w14:textId="436BA475" w:rsidR="00A97450" w:rsidRPr="00A97450" w:rsidRDefault="00A97450">
      <w:pPr>
        <w:numPr>
          <w:ilvl w:val="0"/>
          <w:numId w:val="11"/>
        </w:numPr>
        <w:spacing w:after="0" w:line="240" w:lineRule="auto"/>
      </w:pPr>
      <w:r w:rsidRPr="00A97450">
        <w:t>de définir les principales notions comptables</w:t>
      </w:r>
      <w:r>
        <w:t> ;</w:t>
      </w:r>
    </w:p>
    <w:p w14:paraId="0EE1C73E" w14:textId="3C7DD1AD" w:rsidR="00A97450" w:rsidRPr="00A97450" w:rsidRDefault="00A97450">
      <w:pPr>
        <w:numPr>
          <w:ilvl w:val="0"/>
          <w:numId w:val="11"/>
        </w:numPr>
        <w:spacing w:after="0" w:line="240" w:lineRule="auto"/>
      </w:pPr>
      <w:r w:rsidRPr="00A97450">
        <w:t>d’orienter l’élaboration des normes</w:t>
      </w:r>
      <w:r>
        <w:t> ;</w:t>
      </w:r>
    </w:p>
    <w:p w14:paraId="06A55C1C" w14:textId="0730A139" w:rsidR="00A97450" w:rsidRPr="00A97450" w:rsidRDefault="00A97450">
      <w:pPr>
        <w:numPr>
          <w:ilvl w:val="0"/>
          <w:numId w:val="11"/>
        </w:numPr>
        <w:spacing w:after="0" w:line="240" w:lineRule="auto"/>
      </w:pPr>
      <w:r w:rsidRPr="00A97450">
        <w:t>de résoudre certaines difficultés lorsqu’aucune règle spécifique ne fournit directement la réponse</w:t>
      </w:r>
      <w:r>
        <w:t> ;</w:t>
      </w:r>
    </w:p>
    <w:p w14:paraId="10CB55B2" w14:textId="77777777" w:rsidR="00A97450" w:rsidRPr="00A97450" w:rsidRDefault="00A97450">
      <w:pPr>
        <w:numPr>
          <w:ilvl w:val="0"/>
          <w:numId w:val="11"/>
        </w:numPr>
        <w:spacing w:after="0" w:line="240" w:lineRule="auto"/>
      </w:pPr>
      <w:r w:rsidRPr="00A97450">
        <w:t>d’améliorer la cohérence du système comptable.</w:t>
      </w:r>
    </w:p>
    <w:p w14:paraId="63A357FE" w14:textId="77777777" w:rsidR="00A97450" w:rsidRPr="00A97450" w:rsidRDefault="00A97450" w:rsidP="00A97450">
      <w:pPr>
        <w:spacing w:after="0" w:line="240" w:lineRule="auto"/>
        <w:rPr>
          <w:b/>
          <w:bCs/>
        </w:rPr>
      </w:pPr>
      <w:r w:rsidRPr="00A97450">
        <w:rPr>
          <w:b/>
          <w:bCs/>
        </w:rPr>
        <w:lastRenderedPageBreak/>
        <w:t>6.3 Le cadre français</w:t>
      </w:r>
    </w:p>
    <w:p w14:paraId="0C738C4F" w14:textId="77777777" w:rsidR="00A97450" w:rsidRPr="00A97450" w:rsidRDefault="00A97450" w:rsidP="00A97450">
      <w:pPr>
        <w:spacing w:after="0" w:line="240" w:lineRule="auto"/>
      </w:pPr>
      <w:r w:rsidRPr="00A97450">
        <w:t xml:space="preserve">La France ne dispose pas d’un document autonome équivalent au </w:t>
      </w:r>
      <w:r w:rsidRPr="00A97450">
        <w:rPr>
          <w:b/>
          <w:bCs/>
        </w:rPr>
        <w:t>Conceptual Framework for Financial Reporting</w:t>
      </w:r>
      <w:r w:rsidRPr="00A97450">
        <w:t xml:space="preserve"> de l’IASB.</w:t>
      </w:r>
    </w:p>
    <w:p w14:paraId="47DA6ECB" w14:textId="0100EB1F" w:rsidR="00A97450" w:rsidRPr="00A97450" w:rsidRDefault="00A97450" w:rsidP="00A97450">
      <w:pPr>
        <w:spacing w:after="0" w:line="240" w:lineRule="auto"/>
      </w:pPr>
      <w:r w:rsidRPr="00A97450">
        <w:t>Les concepts fondamentaux français sont principalement intégrés</w:t>
      </w:r>
      <w:r>
        <w:t> :</w:t>
      </w:r>
    </w:p>
    <w:p w14:paraId="21D92F26" w14:textId="426CDE5F" w:rsidR="00A97450" w:rsidRPr="00A97450" w:rsidRDefault="00A97450">
      <w:pPr>
        <w:numPr>
          <w:ilvl w:val="0"/>
          <w:numId w:val="12"/>
        </w:numPr>
        <w:spacing w:after="0" w:line="240" w:lineRule="auto"/>
      </w:pPr>
      <w:r w:rsidRPr="00A97450">
        <w:t>au Code de commerce</w:t>
      </w:r>
      <w:r>
        <w:t> ;</w:t>
      </w:r>
    </w:p>
    <w:p w14:paraId="23F290A2" w14:textId="1F7C3E10" w:rsidR="00A97450" w:rsidRPr="00A97450" w:rsidRDefault="00A97450">
      <w:pPr>
        <w:numPr>
          <w:ilvl w:val="0"/>
          <w:numId w:val="12"/>
        </w:numPr>
        <w:spacing w:after="0" w:line="240" w:lineRule="auto"/>
      </w:pPr>
      <w:r w:rsidRPr="00A97450">
        <w:t>au PCG</w:t>
      </w:r>
      <w:r>
        <w:t> ;</w:t>
      </w:r>
    </w:p>
    <w:p w14:paraId="2BA369CC" w14:textId="77777777" w:rsidR="00A97450" w:rsidRPr="00A97450" w:rsidRDefault="00A97450">
      <w:pPr>
        <w:numPr>
          <w:ilvl w:val="0"/>
          <w:numId w:val="12"/>
        </w:numPr>
        <w:spacing w:after="0" w:line="240" w:lineRule="auto"/>
      </w:pPr>
      <w:r w:rsidRPr="00A97450">
        <w:t>aux autres règlements de l’ANC.</w:t>
      </w:r>
    </w:p>
    <w:p w14:paraId="371E93DF" w14:textId="77777777" w:rsidR="00A97450" w:rsidRPr="00A97450" w:rsidRDefault="00A97450" w:rsidP="00A97450">
      <w:pPr>
        <w:spacing w:after="0" w:line="240" w:lineRule="auto"/>
      </w:pPr>
      <w:r w:rsidRPr="00A97450">
        <w:t xml:space="preserve">Le PCG contient ainsi directement un chapitre consacré aux </w:t>
      </w:r>
      <w:r w:rsidRPr="00A97450">
        <w:rPr>
          <w:b/>
          <w:bCs/>
        </w:rPr>
        <w:t>principes de la comptabilité</w:t>
      </w:r>
      <w:r w:rsidRPr="00A97450">
        <w:t>, puis les définitions et règles applicables aux actifs, passifs, charges et produits.</w:t>
      </w:r>
    </w:p>
    <w:p w14:paraId="2B1BA6E8" w14:textId="77777777" w:rsidR="00A97450" w:rsidRPr="00A97450" w:rsidRDefault="00A97450" w:rsidP="00A97450">
      <w:pPr>
        <w:spacing w:after="0" w:line="240" w:lineRule="auto"/>
        <w:rPr>
          <w:b/>
          <w:bCs/>
        </w:rPr>
      </w:pPr>
      <w:r w:rsidRPr="00A97450">
        <w:rPr>
          <w:b/>
          <w:bCs/>
        </w:rPr>
        <w:t>6.4 Le cadre conceptuel de l’IASB</w:t>
      </w:r>
    </w:p>
    <w:p w14:paraId="5EDEE467" w14:textId="77777777" w:rsidR="00A97450" w:rsidRPr="00A97450" w:rsidRDefault="00A97450" w:rsidP="00A97450">
      <w:pPr>
        <w:spacing w:after="0" w:line="240" w:lineRule="auto"/>
      </w:pPr>
      <w:r w:rsidRPr="00A97450">
        <w:t xml:space="preserve">L’IASB dispose d’un </w:t>
      </w:r>
      <w:r w:rsidRPr="00A97450">
        <w:rPr>
          <w:b/>
          <w:bCs/>
        </w:rPr>
        <w:t>Conceptual Framework for Financial Reporting</w:t>
      </w:r>
      <w:r w:rsidRPr="00A97450">
        <w:t>.</w:t>
      </w:r>
    </w:p>
    <w:p w14:paraId="27ED2042" w14:textId="77777777" w:rsidR="00A97450" w:rsidRPr="00A97450" w:rsidRDefault="00A97450" w:rsidP="00A97450">
      <w:pPr>
        <w:spacing w:after="0" w:line="240" w:lineRule="auto"/>
      </w:pPr>
      <w:r w:rsidRPr="00A97450">
        <w:t xml:space="preserve">La version actuelle résulte de la révision publiée en </w:t>
      </w:r>
      <w:r w:rsidRPr="00A97450">
        <w:rPr>
          <w:b/>
          <w:bCs/>
        </w:rPr>
        <w:t>2018</w:t>
      </w:r>
      <w:r w:rsidRPr="00A97450">
        <w:t>, qui a remplacé la version de 2010.</w:t>
      </w:r>
    </w:p>
    <w:p w14:paraId="4EFB397A" w14:textId="4F254630" w:rsidR="00A97450" w:rsidRPr="00A97450" w:rsidRDefault="00A97450" w:rsidP="00A97450">
      <w:pPr>
        <w:spacing w:after="0" w:line="240" w:lineRule="auto"/>
      </w:pPr>
      <w:r w:rsidRPr="00A97450">
        <w:t>Il traite notamment</w:t>
      </w:r>
      <w:r>
        <w:t> :</w:t>
      </w:r>
    </w:p>
    <w:p w14:paraId="16D8CB53" w14:textId="6545C164" w:rsidR="00A97450" w:rsidRPr="00A97450" w:rsidRDefault="00A97450">
      <w:pPr>
        <w:numPr>
          <w:ilvl w:val="0"/>
          <w:numId w:val="13"/>
        </w:numPr>
        <w:spacing w:after="0" w:line="240" w:lineRule="auto"/>
      </w:pPr>
      <w:r w:rsidRPr="00A97450">
        <w:t>de l’objectif de l’information financière</w:t>
      </w:r>
      <w:r>
        <w:t> ;</w:t>
      </w:r>
    </w:p>
    <w:p w14:paraId="15FCE601" w14:textId="1DC74A26" w:rsidR="00A97450" w:rsidRPr="00A97450" w:rsidRDefault="00A97450">
      <w:pPr>
        <w:numPr>
          <w:ilvl w:val="0"/>
          <w:numId w:val="13"/>
        </w:numPr>
        <w:spacing w:after="0" w:line="240" w:lineRule="auto"/>
      </w:pPr>
      <w:r w:rsidRPr="00A97450">
        <w:t>de ses caractéristiques qualitatives</w:t>
      </w:r>
      <w:r>
        <w:t> ;</w:t>
      </w:r>
    </w:p>
    <w:p w14:paraId="22106658" w14:textId="68EFF803" w:rsidR="00A97450" w:rsidRPr="00A97450" w:rsidRDefault="00A97450">
      <w:pPr>
        <w:numPr>
          <w:ilvl w:val="0"/>
          <w:numId w:val="13"/>
        </w:numPr>
        <w:spacing w:after="0" w:line="240" w:lineRule="auto"/>
      </w:pPr>
      <w:r w:rsidRPr="00A97450">
        <w:t>des états financiers</w:t>
      </w:r>
      <w:r>
        <w:t> ;</w:t>
      </w:r>
    </w:p>
    <w:p w14:paraId="6A32F75D" w14:textId="7F6454DE" w:rsidR="00A97450" w:rsidRPr="00A97450" w:rsidRDefault="00A97450">
      <w:pPr>
        <w:numPr>
          <w:ilvl w:val="0"/>
          <w:numId w:val="13"/>
        </w:numPr>
        <w:spacing w:after="0" w:line="240" w:lineRule="auto"/>
      </w:pPr>
      <w:r w:rsidRPr="00A97450">
        <w:t>des éléments des états financiers</w:t>
      </w:r>
      <w:r>
        <w:t> ;</w:t>
      </w:r>
    </w:p>
    <w:p w14:paraId="404889DF" w14:textId="1DFAB837" w:rsidR="00A97450" w:rsidRPr="00A97450" w:rsidRDefault="00A97450">
      <w:pPr>
        <w:numPr>
          <w:ilvl w:val="0"/>
          <w:numId w:val="13"/>
        </w:numPr>
        <w:spacing w:after="0" w:line="240" w:lineRule="auto"/>
      </w:pPr>
      <w:r w:rsidRPr="00A97450">
        <w:t>de la comptabilisation et de la décomptabilisation</w:t>
      </w:r>
      <w:r>
        <w:t> ;</w:t>
      </w:r>
    </w:p>
    <w:p w14:paraId="39DDF6BF" w14:textId="7D514FB6" w:rsidR="00A97450" w:rsidRPr="00A97450" w:rsidRDefault="00A97450">
      <w:pPr>
        <w:numPr>
          <w:ilvl w:val="0"/>
          <w:numId w:val="13"/>
        </w:numPr>
        <w:spacing w:after="0" w:line="240" w:lineRule="auto"/>
      </w:pPr>
      <w:r w:rsidRPr="00A97450">
        <w:t>de l’évaluation</w:t>
      </w:r>
      <w:r>
        <w:t> ;</w:t>
      </w:r>
    </w:p>
    <w:p w14:paraId="134FC2D9" w14:textId="77777777" w:rsidR="00A97450" w:rsidRPr="00A97450" w:rsidRDefault="00A97450">
      <w:pPr>
        <w:numPr>
          <w:ilvl w:val="0"/>
          <w:numId w:val="13"/>
        </w:numPr>
        <w:spacing w:after="0" w:line="240" w:lineRule="auto"/>
      </w:pPr>
      <w:r w:rsidRPr="00A97450">
        <w:t>de la présentation de l’information.</w:t>
      </w:r>
    </w:p>
    <w:p w14:paraId="75F2C0EA" w14:textId="77777777" w:rsidR="00A97450" w:rsidRPr="00A97450" w:rsidRDefault="00A97450" w:rsidP="00A97450">
      <w:pPr>
        <w:spacing w:after="0" w:line="240" w:lineRule="auto"/>
        <w:rPr>
          <w:b/>
          <w:bCs/>
        </w:rPr>
      </w:pPr>
      <w:r w:rsidRPr="00A97450">
        <w:rPr>
          <w:b/>
          <w:bCs/>
        </w:rPr>
        <w:t>Attention</w:t>
      </w:r>
    </w:p>
    <w:p w14:paraId="7CDFD926" w14:textId="77777777" w:rsidR="00A97450" w:rsidRPr="00A97450" w:rsidRDefault="00A97450" w:rsidP="00A97450">
      <w:pPr>
        <w:spacing w:after="0" w:line="240" w:lineRule="auto"/>
      </w:pPr>
      <w:r w:rsidRPr="00A97450">
        <w:t xml:space="preserve">Le cadre conceptuel </w:t>
      </w:r>
      <w:r w:rsidRPr="00A97450">
        <w:rPr>
          <w:b/>
          <w:bCs/>
        </w:rPr>
        <w:t>n’est pas lui-même une norme IFRS</w:t>
      </w:r>
      <w:r w:rsidRPr="00A97450">
        <w:t>.</w:t>
      </w:r>
    </w:p>
    <w:p w14:paraId="329A88A8" w14:textId="77777777" w:rsidR="00A97450" w:rsidRPr="00A97450" w:rsidRDefault="00A97450" w:rsidP="00A97450">
      <w:pPr>
        <w:spacing w:after="0" w:line="240" w:lineRule="auto"/>
      </w:pPr>
      <w:r w:rsidRPr="00A97450">
        <w:t>Une norme IFRS applicable à une opération prime donc sur le raisonnement général tiré du cadre conceptuel.</w:t>
      </w:r>
    </w:p>
    <w:p w14:paraId="6D7966A0" w14:textId="77777777" w:rsidR="00A97450" w:rsidRPr="00A97450" w:rsidRDefault="00A97450" w:rsidP="00A97450">
      <w:pPr>
        <w:spacing w:after="0" w:line="240" w:lineRule="auto"/>
      </w:pPr>
      <w:r w:rsidRPr="00A97450">
        <w:pict w14:anchorId="007E67E2">
          <v:rect id="_x0000_i3304" style="width:0;height:1.5pt" o:hralign="center" o:hrstd="t" o:hr="t" fillcolor="#a0a0a0" stroked="f"/>
        </w:pict>
      </w:r>
    </w:p>
    <w:p w14:paraId="656300E8" w14:textId="77777777" w:rsidR="00A97450" w:rsidRPr="00A97450" w:rsidRDefault="00A97450" w:rsidP="00A97450">
      <w:pPr>
        <w:pStyle w:val="Titre1"/>
      </w:pPr>
      <w:r w:rsidRPr="00A97450">
        <w:t>7. Les principes comptables français</w:t>
      </w:r>
    </w:p>
    <w:p w14:paraId="2226BCFE" w14:textId="4DD81BA8" w:rsidR="00A97450" w:rsidRPr="00A97450" w:rsidRDefault="00A97450" w:rsidP="00A97450">
      <w:pPr>
        <w:spacing w:after="0" w:line="240" w:lineRule="auto"/>
      </w:pPr>
      <w:r w:rsidRPr="00A97450">
        <w:t>Le référentiel distingue</w:t>
      </w:r>
      <w:r>
        <w:t> :</w:t>
      </w:r>
    </w:p>
    <w:p w14:paraId="432D27A7" w14:textId="77777777" w:rsidR="00A97450" w:rsidRPr="00A97450" w:rsidRDefault="00A97450" w:rsidP="00A97450">
      <w:pPr>
        <w:spacing w:after="0" w:line="240" w:lineRule="auto"/>
        <w:rPr>
          <w:b/>
          <w:bCs/>
        </w:rPr>
      </w:pPr>
      <w:r w:rsidRPr="00A97450">
        <w:rPr>
          <w:b/>
          <w:bCs/>
        </w:rPr>
        <w:t>Les principes comptables</w:t>
      </w:r>
    </w:p>
    <w:p w14:paraId="3657012B" w14:textId="4DC78D4D" w:rsidR="00A97450" w:rsidRPr="00A97450" w:rsidRDefault="00A97450">
      <w:pPr>
        <w:numPr>
          <w:ilvl w:val="0"/>
          <w:numId w:val="14"/>
        </w:numPr>
        <w:spacing w:after="0" w:line="240" w:lineRule="auto"/>
      </w:pPr>
      <w:r w:rsidRPr="00A97450">
        <w:t>image fidèle</w:t>
      </w:r>
      <w:r>
        <w:t> ;</w:t>
      </w:r>
    </w:p>
    <w:p w14:paraId="42D49DBF" w14:textId="292D4CFD" w:rsidR="00A97450" w:rsidRPr="00A97450" w:rsidRDefault="00A97450">
      <w:pPr>
        <w:numPr>
          <w:ilvl w:val="0"/>
          <w:numId w:val="14"/>
        </w:numPr>
        <w:spacing w:after="0" w:line="240" w:lineRule="auto"/>
      </w:pPr>
      <w:r w:rsidRPr="00A97450">
        <w:t>régularité</w:t>
      </w:r>
      <w:r>
        <w:t> ;</w:t>
      </w:r>
    </w:p>
    <w:p w14:paraId="71B47B08" w14:textId="7A1495A6" w:rsidR="00A97450" w:rsidRPr="00A97450" w:rsidRDefault="00A97450">
      <w:pPr>
        <w:numPr>
          <w:ilvl w:val="0"/>
          <w:numId w:val="14"/>
        </w:numPr>
        <w:spacing w:after="0" w:line="240" w:lineRule="auto"/>
      </w:pPr>
      <w:r w:rsidRPr="00A97450">
        <w:t>sincérité</w:t>
      </w:r>
      <w:r>
        <w:t> ;</w:t>
      </w:r>
    </w:p>
    <w:p w14:paraId="33E0C929" w14:textId="4F609D8F" w:rsidR="00A97450" w:rsidRPr="00A97450" w:rsidRDefault="00A97450">
      <w:pPr>
        <w:numPr>
          <w:ilvl w:val="0"/>
          <w:numId w:val="14"/>
        </w:numPr>
        <w:spacing w:after="0" w:line="240" w:lineRule="auto"/>
      </w:pPr>
      <w:r w:rsidRPr="00A97450">
        <w:t>comparabilité</w:t>
      </w:r>
      <w:r>
        <w:t> ;</w:t>
      </w:r>
    </w:p>
    <w:p w14:paraId="5191E90F" w14:textId="561B677F" w:rsidR="00A97450" w:rsidRPr="00A97450" w:rsidRDefault="00A97450">
      <w:pPr>
        <w:numPr>
          <w:ilvl w:val="0"/>
          <w:numId w:val="14"/>
        </w:numPr>
        <w:spacing w:after="0" w:line="240" w:lineRule="auto"/>
      </w:pPr>
      <w:r w:rsidRPr="00A97450">
        <w:t>continuité d’activité</w:t>
      </w:r>
      <w:r>
        <w:t> ;</w:t>
      </w:r>
    </w:p>
    <w:p w14:paraId="65A6C302" w14:textId="6425BD2D" w:rsidR="00A97450" w:rsidRPr="00A97450" w:rsidRDefault="00A97450">
      <w:pPr>
        <w:numPr>
          <w:ilvl w:val="0"/>
          <w:numId w:val="14"/>
        </w:numPr>
        <w:spacing w:after="0" w:line="240" w:lineRule="auto"/>
      </w:pPr>
      <w:r w:rsidRPr="00A97450">
        <w:t>prudence</w:t>
      </w:r>
      <w:r>
        <w:t> ;</w:t>
      </w:r>
    </w:p>
    <w:p w14:paraId="49940668" w14:textId="77777777" w:rsidR="00A97450" w:rsidRPr="00A97450" w:rsidRDefault="00A97450">
      <w:pPr>
        <w:numPr>
          <w:ilvl w:val="0"/>
          <w:numId w:val="14"/>
        </w:numPr>
        <w:spacing w:after="0" w:line="240" w:lineRule="auto"/>
      </w:pPr>
      <w:r w:rsidRPr="00A97450">
        <w:t>permanence des méthodes.</w:t>
      </w:r>
    </w:p>
    <w:p w14:paraId="4EC6A616" w14:textId="77777777" w:rsidR="00A97450" w:rsidRPr="00A97450" w:rsidRDefault="00A97450" w:rsidP="00A97450">
      <w:pPr>
        <w:spacing w:after="0" w:line="240" w:lineRule="auto"/>
        <w:rPr>
          <w:b/>
          <w:bCs/>
        </w:rPr>
      </w:pPr>
      <w:r w:rsidRPr="00A97450">
        <w:rPr>
          <w:b/>
          <w:bCs/>
        </w:rPr>
        <w:t>Les autres règles fondamentales</w:t>
      </w:r>
    </w:p>
    <w:p w14:paraId="35DE7FD2" w14:textId="5CDB09DD" w:rsidR="00A97450" w:rsidRPr="00A97450" w:rsidRDefault="00A97450">
      <w:pPr>
        <w:numPr>
          <w:ilvl w:val="0"/>
          <w:numId w:val="15"/>
        </w:numPr>
        <w:spacing w:after="0" w:line="240" w:lineRule="auto"/>
      </w:pPr>
      <w:r w:rsidRPr="00A97450">
        <w:t>indépendance des exercices</w:t>
      </w:r>
      <w:r>
        <w:t> ;</w:t>
      </w:r>
    </w:p>
    <w:p w14:paraId="33DA6F5C" w14:textId="2524E46A" w:rsidR="00A97450" w:rsidRPr="00A97450" w:rsidRDefault="00A97450">
      <w:pPr>
        <w:numPr>
          <w:ilvl w:val="0"/>
          <w:numId w:val="15"/>
        </w:numPr>
        <w:spacing w:after="0" w:line="240" w:lineRule="auto"/>
      </w:pPr>
      <w:r w:rsidRPr="00A97450">
        <w:t>coût historique</w:t>
      </w:r>
      <w:r>
        <w:t> ;</w:t>
      </w:r>
    </w:p>
    <w:p w14:paraId="5DEEEE9E" w14:textId="39D7825A" w:rsidR="00A97450" w:rsidRPr="00A97450" w:rsidRDefault="00A97450">
      <w:pPr>
        <w:numPr>
          <w:ilvl w:val="0"/>
          <w:numId w:val="15"/>
        </w:numPr>
        <w:spacing w:after="0" w:line="240" w:lineRule="auto"/>
      </w:pPr>
      <w:r w:rsidRPr="00A97450">
        <w:t>intangibilité du bilan d’ouverture</w:t>
      </w:r>
      <w:r>
        <w:t> ;</w:t>
      </w:r>
    </w:p>
    <w:p w14:paraId="32450734" w14:textId="5D3E851E" w:rsidR="00A97450" w:rsidRPr="00A97450" w:rsidRDefault="00A97450">
      <w:pPr>
        <w:numPr>
          <w:ilvl w:val="0"/>
          <w:numId w:val="15"/>
        </w:numPr>
        <w:spacing w:after="0" w:line="240" w:lineRule="auto"/>
      </w:pPr>
      <w:r w:rsidRPr="00A97450">
        <w:t>non-compensation</w:t>
      </w:r>
      <w:r>
        <w:t> ;</w:t>
      </w:r>
    </w:p>
    <w:p w14:paraId="1D322DA2" w14:textId="77777777" w:rsidR="00A97450" w:rsidRPr="00A97450" w:rsidRDefault="00A97450">
      <w:pPr>
        <w:numPr>
          <w:ilvl w:val="0"/>
          <w:numId w:val="15"/>
        </w:numPr>
        <w:spacing w:after="0" w:line="240" w:lineRule="auto"/>
      </w:pPr>
      <w:r w:rsidRPr="00A97450">
        <w:t>importance relative.</w:t>
      </w:r>
    </w:p>
    <w:p w14:paraId="290D6E3A" w14:textId="77777777" w:rsidR="00A97450" w:rsidRPr="00A97450" w:rsidRDefault="00A97450" w:rsidP="00A97450">
      <w:pPr>
        <w:spacing w:after="0" w:line="240" w:lineRule="auto"/>
      </w:pPr>
      <w:r w:rsidRPr="00A97450">
        <w:rPr>
          <w:b/>
          <w:bCs/>
        </w:rPr>
        <w:t>Ces douze notions doivent être connues et comprises.</w:t>
      </w:r>
    </w:p>
    <w:p w14:paraId="034A80C3" w14:textId="6C05E31D" w:rsidR="00A97450" w:rsidRPr="00A97450" w:rsidRDefault="00A97450" w:rsidP="00A97450">
      <w:pPr>
        <w:spacing w:after="0" w:line="240" w:lineRule="auto"/>
      </w:pPr>
      <w:r w:rsidRPr="00A97450">
        <w:t>Leur intérêt n’est pas de réciter une liste</w:t>
      </w:r>
      <w:r>
        <w:t> :</w:t>
      </w:r>
      <w:r w:rsidRPr="00A97450">
        <w:t xml:space="preserve"> elles doivent permettre de </w:t>
      </w:r>
      <w:r w:rsidRPr="00A97450">
        <w:rPr>
          <w:b/>
          <w:bCs/>
        </w:rPr>
        <w:t>justifier les traitements comptables</w:t>
      </w:r>
      <w:r w:rsidRPr="00A97450">
        <w:t>.</w:t>
      </w:r>
    </w:p>
    <w:p w14:paraId="5C3A7C93" w14:textId="77777777" w:rsidR="00A97450" w:rsidRPr="00A97450" w:rsidRDefault="00A97450" w:rsidP="00A97450">
      <w:pPr>
        <w:spacing w:after="0" w:line="240" w:lineRule="auto"/>
      </w:pPr>
      <w:r w:rsidRPr="00A97450">
        <w:pict w14:anchorId="0C6404F9">
          <v:rect id="_x0000_i3305" style="width:0;height:1.5pt" o:hralign="center" o:hrstd="t" o:hr="t" fillcolor="#a0a0a0" stroked="f"/>
        </w:pict>
      </w:r>
    </w:p>
    <w:p w14:paraId="4AC9F509" w14:textId="77777777" w:rsidR="00A97450" w:rsidRPr="00A97450" w:rsidRDefault="00A97450" w:rsidP="00A97450">
      <w:pPr>
        <w:pStyle w:val="Titre1"/>
      </w:pPr>
      <w:r w:rsidRPr="00A97450">
        <w:t>8. Le principe d’image fidèle</w:t>
      </w:r>
    </w:p>
    <w:p w14:paraId="40CA3EC0" w14:textId="77777777" w:rsidR="00A97450" w:rsidRPr="00A97450" w:rsidRDefault="00A97450" w:rsidP="00A97450">
      <w:pPr>
        <w:spacing w:after="0" w:line="240" w:lineRule="auto"/>
      </w:pPr>
      <w:r w:rsidRPr="00A97450">
        <w:t>L’</w:t>
      </w:r>
      <w:r w:rsidRPr="00A97450">
        <w:rPr>
          <w:b/>
          <w:bCs/>
        </w:rPr>
        <w:t>image fidèle</w:t>
      </w:r>
      <w:r w:rsidRPr="00A97450">
        <w:t xml:space="preserve"> constitue la finalité générale de l’information produite par les comptes.</w:t>
      </w:r>
    </w:p>
    <w:p w14:paraId="29D6157B" w14:textId="06DC7885" w:rsidR="00A97450" w:rsidRPr="00A97450" w:rsidRDefault="00A97450" w:rsidP="00A97450">
      <w:pPr>
        <w:spacing w:after="0" w:line="240" w:lineRule="auto"/>
      </w:pPr>
      <w:r w:rsidRPr="00A97450">
        <w:t>Le PCG indique que la comptabilité doit permettre de présenter des états reflétant une image fidèle</w:t>
      </w:r>
      <w:r>
        <w:t> :</w:t>
      </w:r>
    </w:p>
    <w:p w14:paraId="1502DF56" w14:textId="1CAB0AE3" w:rsidR="00A97450" w:rsidRPr="00A97450" w:rsidRDefault="00A97450">
      <w:pPr>
        <w:numPr>
          <w:ilvl w:val="0"/>
          <w:numId w:val="16"/>
        </w:numPr>
        <w:spacing w:after="0" w:line="240" w:lineRule="auto"/>
      </w:pPr>
      <w:r w:rsidRPr="00A97450">
        <w:t>du patrimoine</w:t>
      </w:r>
      <w:r>
        <w:t> ;</w:t>
      </w:r>
    </w:p>
    <w:p w14:paraId="2A3E9CF1" w14:textId="2A9871DC" w:rsidR="00A97450" w:rsidRPr="00A97450" w:rsidRDefault="00A97450">
      <w:pPr>
        <w:numPr>
          <w:ilvl w:val="0"/>
          <w:numId w:val="16"/>
        </w:numPr>
        <w:spacing w:after="0" w:line="240" w:lineRule="auto"/>
      </w:pPr>
      <w:r w:rsidRPr="00A97450">
        <w:t>de la situation financière</w:t>
      </w:r>
      <w:r>
        <w:t> ;</w:t>
      </w:r>
    </w:p>
    <w:p w14:paraId="3F1793F4" w14:textId="77777777" w:rsidR="00A97450" w:rsidRPr="00A97450" w:rsidRDefault="00A97450">
      <w:pPr>
        <w:numPr>
          <w:ilvl w:val="0"/>
          <w:numId w:val="16"/>
        </w:numPr>
        <w:spacing w:after="0" w:line="240" w:lineRule="auto"/>
      </w:pPr>
      <w:r w:rsidRPr="00A97450">
        <w:t>du résultat de l’entité.</w:t>
      </w:r>
    </w:p>
    <w:p w14:paraId="0693DFA5" w14:textId="77777777" w:rsidR="00A97450" w:rsidRPr="00A97450" w:rsidRDefault="00A97450" w:rsidP="00A97450">
      <w:pPr>
        <w:spacing w:after="0" w:line="240" w:lineRule="auto"/>
      </w:pPr>
      <w:r w:rsidRPr="00A97450">
        <w:lastRenderedPageBreak/>
        <w:t>Le Code de commerce impose également que les comptes annuels soient réguliers, sincères et donnent une image fidèle.</w:t>
      </w:r>
    </w:p>
    <w:p w14:paraId="71F774E9" w14:textId="77777777" w:rsidR="00A97450" w:rsidRPr="00A97450" w:rsidRDefault="00A97450" w:rsidP="00A97450">
      <w:pPr>
        <w:spacing w:after="0" w:line="240" w:lineRule="auto"/>
        <w:rPr>
          <w:b/>
          <w:bCs/>
        </w:rPr>
      </w:pPr>
      <w:r w:rsidRPr="00A97450">
        <w:rPr>
          <w:b/>
          <w:bCs/>
        </w:rPr>
        <w:t>Exemple</w:t>
      </w:r>
    </w:p>
    <w:p w14:paraId="3D4D02C9" w14:textId="77777777" w:rsidR="00A97450" w:rsidRPr="00A97450" w:rsidRDefault="00A97450" w:rsidP="00A97450">
      <w:pPr>
        <w:spacing w:after="0" w:line="240" w:lineRule="auto"/>
      </w:pPr>
      <w:r w:rsidRPr="00A97450">
        <w:t>Si l’application normale d’une règle ne permet pas, dans une situation exceptionnelle, de donner une image fidèle, une information supplémentaire doit être fournie et, dans le cas exceptionnel prévu par le Code, une dérogation peut être nécessaire et expliquée dans l’annexe.</w:t>
      </w:r>
    </w:p>
    <w:p w14:paraId="4E70A17A" w14:textId="77777777" w:rsidR="00A97450" w:rsidRPr="00A97450" w:rsidRDefault="00A97450" w:rsidP="00A97450">
      <w:pPr>
        <w:spacing w:after="0" w:line="240" w:lineRule="auto"/>
        <w:rPr>
          <w:b/>
          <w:bCs/>
        </w:rPr>
      </w:pPr>
      <w:r w:rsidRPr="00A97450">
        <w:rPr>
          <w:b/>
          <w:bCs/>
        </w:rPr>
        <w:t>À retenir</w:t>
      </w:r>
    </w:p>
    <w:p w14:paraId="51EF9199" w14:textId="057D3239" w:rsidR="00A97450" w:rsidRPr="00A97450" w:rsidRDefault="00A97450" w:rsidP="00A97450">
      <w:pPr>
        <w:spacing w:after="0" w:line="240" w:lineRule="auto"/>
      </w:pPr>
      <w:r w:rsidRPr="00A97450">
        <w:rPr>
          <w:b/>
          <w:bCs/>
        </w:rPr>
        <w:t>L’image fidèle est une finalité</w:t>
      </w:r>
      <w:r>
        <w:rPr>
          <w:b/>
          <w:bCs/>
        </w:rPr>
        <w:t> ;</w:t>
      </w:r>
      <w:r w:rsidRPr="00A97450">
        <w:rPr>
          <w:b/>
          <w:bCs/>
        </w:rPr>
        <w:t xml:space="preserve"> elle ne signifie pas que les comptes reproduisent une </w:t>
      </w:r>
      <w:r>
        <w:rPr>
          <w:b/>
          <w:bCs/>
        </w:rPr>
        <w:t>« </w:t>
      </w:r>
      <w:r w:rsidRPr="00A97450">
        <w:rPr>
          <w:b/>
          <w:bCs/>
        </w:rPr>
        <w:t>vérité absolue</w:t>
      </w:r>
      <w:r>
        <w:rPr>
          <w:b/>
          <w:bCs/>
        </w:rPr>
        <w:t> »</w:t>
      </w:r>
      <w:r w:rsidRPr="00A97450">
        <w:rPr>
          <w:b/>
          <w:bCs/>
        </w:rPr>
        <w:t>.</w:t>
      </w:r>
    </w:p>
    <w:p w14:paraId="6EB170F9" w14:textId="7BB82845" w:rsidR="00A97450" w:rsidRPr="00A97450" w:rsidRDefault="00A97450" w:rsidP="00A97450">
      <w:pPr>
        <w:spacing w:after="0" w:line="240" w:lineRule="auto"/>
      </w:pPr>
      <w:r w:rsidRPr="00A97450">
        <w:t>La comptabilité comporte nécessairement</w:t>
      </w:r>
      <w:r>
        <w:t> :</w:t>
      </w:r>
    </w:p>
    <w:p w14:paraId="2847EADB" w14:textId="2D0C51D5" w:rsidR="00A97450" w:rsidRPr="00A97450" w:rsidRDefault="00A97450">
      <w:pPr>
        <w:numPr>
          <w:ilvl w:val="0"/>
          <w:numId w:val="17"/>
        </w:numPr>
        <w:spacing w:after="0" w:line="240" w:lineRule="auto"/>
      </w:pPr>
      <w:r w:rsidRPr="00A97450">
        <w:t>des conventions</w:t>
      </w:r>
      <w:r>
        <w:t> ;</w:t>
      </w:r>
    </w:p>
    <w:p w14:paraId="6A09AAB3" w14:textId="05BBD843" w:rsidR="00A97450" w:rsidRPr="00A97450" w:rsidRDefault="00A97450">
      <w:pPr>
        <w:numPr>
          <w:ilvl w:val="0"/>
          <w:numId w:val="17"/>
        </w:numPr>
        <w:spacing w:after="0" w:line="240" w:lineRule="auto"/>
      </w:pPr>
      <w:r w:rsidRPr="00A97450">
        <w:t>des évaluations</w:t>
      </w:r>
      <w:r>
        <w:t> ;</w:t>
      </w:r>
    </w:p>
    <w:p w14:paraId="0FE67863" w14:textId="26D0C2DD" w:rsidR="00A97450" w:rsidRPr="00A97450" w:rsidRDefault="00A97450">
      <w:pPr>
        <w:numPr>
          <w:ilvl w:val="0"/>
          <w:numId w:val="17"/>
        </w:numPr>
        <w:spacing w:after="0" w:line="240" w:lineRule="auto"/>
      </w:pPr>
      <w:r w:rsidRPr="00A97450">
        <w:t>des estimations</w:t>
      </w:r>
      <w:r>
        <w:t> ;</w:t>
      </w:r>
    </w:p>
    <w:p w14:paraId="17A51BE6" w14:textId="77777777" w:rsidR="00A97450" w:rsidRPr="00A97450" w:rsidRDefault="00A97450">
      <w:pPr>
        <w:numPr>
          <w:ilvl w:val="0"/>
          <w:numId w:val="17"/>
        </w:numPr>
        <w:spacing w:after="0" w:line="240" w:lineRule="auto"/>
      </w:pPr>
      <w:r w:rsidRPr="00A97450">
        <w:t>des jugements.</w:t>
      </w:r>
    </w:p>
    <w:p w14:paraId="342C074B" w14:textId="77777777" w:rsidR="00A97450" w:rsidRPr="00A97450" w:rsidRDefault="00A97450" w:rsidP="00A97450">
      <w:pPr>
        <w:spacing w:after="0" w:line="240" w:lineRule="auto"/>
      </w:pPr>
      <w:r w:rsidRPr="00A97450">
        <w:pict w14:anchorId="741F7CF4">
          <v:rect id="_x0000_i3306" style="width:0;height:1.5pt" o:hralign="center" o:hrstd="t" o:hr="t" fillcolor="#a0a0a0" stroked="f"/>
        </w:pict>
      </w:r>
    </w:p>
    <w:p w14:paraId="18209FB1" w14:textId="77777777" w:rsidR="00A97450" w:rsidRPr="00A97450" w:rsidRDefault="00A97450" w:rsidP="00A97450">
      <w:pPr>
        <w:pStyle w:val="Titre1"/>
      </w:pPr>
      <w:r w:rsidRPr="00A97450">
        <w:t>9. Le principe de régularité</w:t>
      </w:r>
    </w:p>
    <w:p w14:paraId="369AFBCE" w14:textId="5B6D024C" w:rsidR="00A97450" w:rsidRPr="00A97450" w:rsidRDefault="00A97450" w:rsidP="00A97450">
      <w:pPr>
        <w:spacing w:after="0" w:line="240" w:lineRule="auto"/>
      </w:pPr>
      <w:r w:rsidRPr="00A97450">
        <w:t xml:space="preserve">La </w:t>
      </w:r>
      <w:r w:rsidRPr="00A97450">
        <w:rPr>
          <w:b/>
          <w:bCs/>
        </w:rPr>
        <w:t>régularité</w:t>
      </w:r>
      <w:r w:rsidRPr="00A97450">
        <w:t xml:space="preserve"> signifie que la comptabilité doit être conforme</w:t>
      </w:r>
      <w:r>
        <w:t> :</w:t>
      </w:r>
    </w:p>
    <w:p w14:paraId="72BAD1A5" w14:textId="1FAF413D" w:rsidR="00A97450" w:rsidRPr="00A97450" w:rsidRDefault="00A97450">
      <w:pPr>
        <w:numPr>
          <w:ilvl w:val="0"/>
          <w:numId w:val="18"/>
        </w:numPr>
        <w:spacing w:after="0" w:line="240" w:lineRule="auto"/>
      </w:pPr>
      <w:r w:rsidRPr="00A97450">
        <w:t>aux règles</w:t>
      </w:r>
      <w:r>
        <w:t> ;</w:t>
      </w:r>
    </w:p>
    <w:p w14:paraId="04098F8C" w14:textId="733C1B62" w:rsidR="00A97450" w:rsidRPr="00A97450" w:rsidRDefault="00A97450">
      <w:pPr>
        <w:numPr>
          <w:ilvl w:val="0"/>
          <w:numId w:val="18"/>
        </w:numPr>
        <w:spacing w:after="0" w:line="240" w:lineRule="auto"/>
      </w:pPr>
      <w:r w:rsidRPr="00A97450">
        <w:t>aux procédures</w:t>
      </w:r>
      <w:r>
        <w:t> ;</w:t>
      </w:r>
    </w:p>
    <w:p w14:paraId="7DD490D9" w14:textId="77777777" w:rsidR="00A97450" w:rsidRPr="00A97450" w:rsidRDefault="00A97450">
      <w:pPr>
        <w:numPr>
          <w:ilvl w:val="0"/>
          <w:numId w:val="18"/>
        </w:numPr>
        <w:spacing w:after="0" w:line="240" w:lineRule="auto"/>
      </w:pPr>
      <w:r w:rsidRPr="00A97450">
        <w:t>aux normes comptables applicables.</w:t>
      </w:r>
    </w:p>
    <w:p w14:paraId="5EC5CE5D" w14:textId="77777777" w:rsidR="00A97450" w:rsidRPr="00A97450" w:rsidRDefault="00A97450" w:rsidP="00A97450">
      <w:pPr>
        <w:spacing w:after="0" w:line="240" w:lineRule="auto"/>
      </w:pPr>
      <w:r w:rsidRPr="00A97450">
        <w:t>Le PCG associe directement régularité et sincérité dans l’établissement des comptes.</w:t>
      </w:r>
    </w:p>
    <w:p w14:paraId="658AB799" w14:textId="77777777" w:rsidR="00A97450" w:rsidRPr="00A97450" w:rsidRDefault="00A97450" w:rsidP="00A97450">
      <w:pPr>
        <w:spacing w:after="0" w:line="240" w:lineRule="auto"/>
        <w:rPr>
          <w:b/>
          <w:bCs/>
        </w:rPr>
      </w:pPr>
      <w:r w:rsidRPr="00A97450">
        <w:rPr>
          <w:b/>
          <w:bCs/>
        </w:rPr>
        <w:t>Exemple</w:t>
      </w:r>
    </w:p>
    <w:p w14:paraId="15B2656A" w14:textId="77777777" w:rsidR="00A97450" w:rsidRPr="00A97450" w:rsidRDefault="00A97450" w:rsidP="00A97450">
      <w:pPr>
        <w:spacing w:after="0" w:line="240" w:lineRule="auto"/>
      </w:pPr>
      <w:r w:rsidRPr="00A97450">
        <w:t>Une entité ne peut pas choisir une méthode d’évaluation interdite simplement parce qu’elle améliore son résultat.</w:t>
      </w:r>
    </w:p>
    <w:p w14:paraId="77E95E82" w14:textId="77777777" w:rsidR="00A97450" w:rsidRPr="00A97450" w:rsidRDefault="00A97450" w:rsidP="00A97450">
      <w:pPr>
        <w:spacing w:after="0" w:line="240" w:lineRule="auto"/>
      </w:pPr>
      <w:r w:rsidRPr="00A97450">
        <w:pict w14:anchorId="77098054">
          <v:rect id="_x0000_i3307" style="width:0;height:1.5pt" o:hralign="center" o:hrstd="t" o:hr="t" fillcolor="#a0a0a0" stroked="f"/>
        </w:pict>
      </w:r>
    </w:p>
    <w:p w14:paraId="4EDB9A9C" w14:textId="77777777" w:rsidR="00A97450" w:rsidRPr="00A97450" w:rsidRDefault="00A97450" w:rsidP="00A97450">
      <w:pPr>
        <w:pStyle w:val="Titre1"/>
      </w:pPr>
      <w:r w:rsidRPr="00A97450">
        <w:t>10. Le principe de sincérité</w:t>
      </w:r>
    </w:p>
    <w:p w14:paraId="59C73666" w14:textId="77777777" w:rsidR="00A97450" w:rsidRPr="00A97450" w:rsidRDefault="00A97450" w:rsidP="00A97450">
      <w:pPr>
        <w:spacing w:after="0" w:line="240" w:lineRule="auto"/>
      </w:pPr>
      <w:r w:rsidRPr="00A97450">
        <w:t xml:space="preserve">La </w:t>
      </w:r>
      <w:r w:rsidRPr="00A97450">
        <w:rPr>
          <w:b/>
          <w:bCs/>
        </w:rPr>
        <w:t>sincérité</w:t>
      </w:r>
      <w:r w:rsidRPr="00A97450">
        <w:t xml:space="preserve"> signifie que les règles comptables doivent être appliquées de bonne foi en fonction de la connaissance que les responsables ont de la réalité et de l’importance des opérations.</w:t>
      </w:r>
    </w:p>
    <w:p w14:paraId="4A7EDE31" w14:textId="77777777" w:rsidR="00A97450" w:rsidRPr="00A97450" w:rsidRDefault="00A97450" w:rsidP="00A97450">
      <w:pPr>
        <w:spacing w:after="0" w:line="240" w:lineRule="auto"/>
        <w:rPr>
          <w:b/>
          <w:bCs/>
        </w:rPr>
      </w:pPr>
      <w:r w:rsidRPr="00A97450">
        <w:rPr>
          <w:b/>
          <w:bCs/>
        </w:rPr>
        <w:t>Exemple</w:t>
      </w:r>
    </w:p>
    <w:p w14:paraId="001ED04D" w14:textId="77777777" w:rsidR="00A97450" w:rsidRPr="00A97450" w:rsidRDefault="00A97450" w:rsidP="00A97450">
      <w:pPr>
        <w:spacing w:after="0" w:line="240" w:lineRule="auto"/>
      </w:pPr>
      <w:r w:rsidRPr="00A97450">
        <w:t>Une entreprise sait qu’une créance importante présente un risque sérieux de non-recouvrement.</w:t>
      </w:r>
    </w:p>
    <w:p w14:paraId="3929CCED" w14:textId="77777777" w:rsidR="00A97450" w:rsidRPr="00A97450" w:rsidRDefault="00A97450" w:rsidP="00A97450">
      <w:pPr>
        <w:spacing w:after="0" w:line="240" w:lineRule="auto"/>
      </w:pPr>
      <w:r w:rsidRPr="00A97450">
        <w:t>Elle ne peut pas ignorer volontairement cette information afin de présenter une situation financière plus favorable.</w:t>
      </w:r>
    </w:p>
    <w:p w14:paraId="13A7675C" w14:textId="77777777" w:rsidR="00A97450" w:rsidRPr="00A97450" w:rsidRDefault="00A97450" w:rsidP="00A97450">
      <w:pPr>
        <w:spacing w:after="0" w:line="240" w:lineRule="auto"/>
        <w:rPr>
          <w:b/>
          <w:bCs/>
        </w:rPr>
      </w:pPr>
      <w:r w:rsidRPr="00A97450">
        <w:rPr>
          <w:b/>
          <w:bCs/>
        </w:rPr>
        <w:t>Régularité ≠ sincérité</w:t>
      </w:r>
    </w:p>
    <w:p w14:paraId="1834EC52" w14:textId="4DE25EC0" w:rsidR="00A97450" w:rsidRPr="00A97450" w:rsidRDefault="00A97450">
      <w:pPr>
        <w:numPr>
          <w:ilvl w:val="0"/>
          <w:numId w:val="19"/>
        </w:numPr>
        <w:spacing w:after="0" w:line="240" w:lineRule="auto"/>
      </w:pPr>
      <w:r w:rsidRPr="00A97450">
        <w:rPr>
          <w:b/>
          <w:bCs/>
        </w:rPr>
        <w:t>Régularité</w:t>
      </w:r>
      <w:r>
        <w:t> :</w:t>
      </w:r>
      <w:r w:rsidRPr="00A97450">
        <w:t xml:space="preserve"> respect des règles.</w:t>
      </w:r>
    </w:p>
    <w:p w14:paraId="415ACC99" w14:textId="0E9C47ED" w:rsidR="00A97450" w:rsidRPr="00A97450" w:rsidRDefault="00A97450">
      <w:pPr>
        <w:numPr>
          <w:ilvl w:val="0"/>
          <w:numId w:val="19"/>
        </w:numPr>
        <w:spacing w:after="0" w:line="240" w:lineRule="auto"/>
      </w:pPr>
      <w:r w:rsidRPr="00A97450">
        <w:rPr>
          <w:b/>
          <w:bCs/>
        </w:rPr>
        <w:t>Sincérité</w:t>
      </w:r>
      <w:r>
        <w:t> :</w:t>
      </w:r>
      <w:r w:rsidRPr="00A97450">
        <w:t xml:space="preserve"> application loyale de ces règles compte tenu des informations disponibles.</w:t>
      </w:r>
    </w:p>
    <w:p w14:paraId="5367D602" w14:textId="77777777" w:rsidR="00A97450" w:rsidRPr="00A97450" w:rsidRDefault="00A97450" w:rsidP="00A97450">
      <w:pPr>
        <w:spacing w:after="0" w:line="240" w:lineRule="auto"/>
      </w:pPr>
      <w:r w:rsidRPr="00A97450">
        <w:pict w14:anchorId="428D1D76">
          <v:rect id="_x0000_i3308" style="width:0;height:1.5pt" o:hralign="center" o:hrstd="t" o:hr="t" fillcolor="#a0a0a0" stroked="f"/>
        </w:pict>
      </w:r>
    </w:p>
    <w:p w14:paraId="5189EF0E" w14:textId="77777777" w:rsidR="00A97450" w:rsidRPr="00A97450" w:rsidRDefault="00A97450" w:rsidP="00A97450">
      <w:pPr>
        <w:pStyle w:val="Titre1"/>
      </w:pPr>
      <w:r w:rsidRPr="00A97450">
        <w:t>11. Le principe de comparabilité</w:t>
      </w:r>
    </w:p>
    <w:p w14:paraId="33A4CE3E" w14:textId="799E7705" w:rsidR="00A97450" w:rsidRPr="00A97450" w:rsidRDefault="00A97450" w:rsidP="00A97450">
      <w:pPr>
        <w:spacing w:after="0" w:line="240" w:lineRule="auto"/>
      </w:pPr>
      <w:r w:rsidRPr="00A97450">
        <w:t>La comptabilité doit permettre de réaliser des comparaisons pertinentes</w:t>
      </w:r>
      <w:r>
        <w:t> :</w:t>
      </w:r>
    </w:p>
    <w:p w14:paraId="5488F86A" w14:textId="0DF0069F" w:rsidR="00A97450" w:rsidRPr="00A97450" w:rsidRDefault="00A97450">
      <w:pPr>
        <w:numPr>
          <w:ilvl w:val="0"/>
          <w:numId w:val="20"/>
        </w:numPr>
        <w:spacing w:after="0" w:line="240" w:lineRule="auto"/>
      </w:pPr>
      <w:r w:rsidRPr="00A97450">
        <w:t>entre différentes périodes</w:t>
      </w:r>
      <w:r>
        <w:t> ;</w:t>
      </w:r>
    </w:p>
    <w:p w14:paraId="25AED6D2" w14:textId="77777777" w:rsidR="00A97450" w:rsidRPr="00A97450" w:rsidRDefault="00A97450">
      <w:pPr>
        <w:numPr>
          <w:ilvl w:val="0"/>
          <w:numId w:val="20"/>
        </w:numPr>
        <w:spacing w:after="0" w:line="240" w:lineRule="auto"/>
      </w:pPr>
      <w:r w:rsidRPr="00A97450">
        <w:t>et, lorsque les référentiels et méthodes sont comparables, entre différentes entités.</w:t>
      </w:r>
    </w:p>
    <w:p w14:paraId="3F7407BD" w14:textId="77777777" w:rsidR="00A97450" w:rsidRPr="00A97450" w:rsidRDefault="00A97450" w:rsidP="00A97450">
      <w:pPr>
        <w:spacing w:after="0" w:line="240" w:lineRule="auto"/>
      </w:pPr>
      <w:r w:rsidRPr="00A97450">
        <w:t>Le PCG associe la comparabilité à la permanence des méthodes et à la continuité d’activité.</w:t>
      </w:r>
    </w:p>
    <w:p w14:paraId="6159A225" w14:textId="77777777" w:rsidR="00A97450" w:rsidRPr="00A97450" w:rsidRDefault="00A97450" w:rsidP="00A97450">
      <w:pPr>
        <w:spacing w:after="0" w:line="240" w:lineRule="auto"/>
        <w:rPr>
          <w:b/>
          <w:bCs/>
        </w:rPr>
      </w:pPr>
      <w:r w:rsidRPr="00A97450">
        <w:rPr>
          <w:b/>
          <w:bCs/>
        </w:rPr>
        <w:t>Exemple</w:t>
      </w:r>
    </w:p>
    <w:p w14:paraId="46AE4008" w14:textId="77777777" w:rsidR="00A97450" w:rsidRPr="00A97450" w:rsidRDefault="00A97450" w:rsidP="00A97450">
      <w:pPr>
        <w:spacing w:after="0" w:line="240" w:lineRule="auto"/>
      </w:pPr>
      <w:r w:rsidRPr="00A97450">
        <w:t>Si une entreprise modifie régulièrement ses méthodes uniquement pour améliorer le résultat de l’exercice, les comptes deviennent difficilement comparables.</w:t>
      </w:r>
    </w:p>
    <w:p w14:paraId="25DB3D89" w14:textId="77777777" w:rsidR="00A97450" w:rsidRPr="00A97450" w:rsidRDefault="00A97450" w:rsidP="00A97450">
      <w:pPr>
        <w:spacing w:after="0" w:line="240" w:lineRule="auto"/>
      </w:pPr>
      <w:r w:rsidRPr="00A97450">
        <w:pict w14:anchorId="3AB016F4">
          <v:rect id="_x0000_i3309" style="width:0;height:1.5pt" o:hralign="center" o:hrstd="t" o:hr="t" fillcolor="#a0a0a0" stroked="f"/>
        </w:pict>
      </w:r>
    </w:p>
    <w:p w14:paraId="66D4874F" w14:textId="77777777" w:rsidR="00A97450" w:rsidRPr="00A97450" w:rsidRDefault="00A97450" w:rsidP="00A97450">
      <w:pPr>
        <w:pStyle w:val="Titre1"/>
      </w:pPr>
      <w:r w:rsidRPr="00A97450">
        <w:lastRenderedPageBreak/>
        <w:t>12. Le principe de continuité d’activité</w:t>
      </w:r>
    </w:p>
    <w:p w14:paraId="0257DA0A" w14:textId="77777777" w:rsidR="00A97450" w:rsidRPr="00A97450" w:rsidRDefault="00A97450" w:rsidP="00A97450">
      <w:pPr>
        <w:spacing w:after="0" w:line="240" w:lineRule="auto"/>
      </w:pPr>
      <w:r w:rsidRPr="00A97450">
        <w:t xml:space="preserve">Les comptes sont normalement établis dans l’hypothèse que l’entité </w:t>
      </w:r>
      <w:r w:rsidRPr="00A97450">
        <w:rPr>
          <w:b/>
          <w:bCs/>
        </w:rPr>
        <w:t>poursuivra son activité</w:t>
      </w:r>
      <w:r w:rsidRPr="00A97450">
        <w:t>.</w:t>
      </w:r>
    </w:p>
    <w:p w14:paraId="7F545A2A" w14:textId="77777777" w:rsidR="00A97450" w:rsidRPr="00A97450" w:rsidRDefault="00A97450" w:rsidP="00A97450">
      <w:pPr>
        <w:spacing w:after="0" w:line="240" w:lineRule="auto"/>
      </w:pPr>
      <w:r w:rsidRPr="00A97450">
        <w:t>Le PCG précise que l’évolution de l’entité est appréciée dans une perspective de continuité d’activité.</w:t>
      </w:r>
    </w:p>
    <w:p w14:paraId="621407BA" w14:textId="77777777" w:rsidR="00A97450" w:rsidRPr="00A97450" w:rsidRDefault="00A97450" w:rsidP="00A97450">
      <w:pPr>
        <w:spacing w:after="0" w:line="240" w:lineRule="auto"/>
      </w:pPr>
      <w:r w:rsidRPr="00A97450">
        <w:t>Cette hypothèse influence fortement les évaluations comptables.</w:t>
      </w:r>
    </w:p>
    <w:p w14:paraId="35794EE6" w14:textId="77777777" w:rsidR="00A97450" w:rsidRPr="00A97450" w:rsidRDefault="00A97450" w:rsidP="00A97450">
      <w:pPr>
        <w:spacing w:after="0" w:line="240" w:lineRule="auto"/>
        <w:rPr>
          <w:b/>
          <w:bCs/>
        </w:rPr>
      </w:pPr>
      <w:r w:rsidRPr="00A97450">
        <w:rPr>
          <w:b/>
          <w:bCs/>
        </w:rPr>
        <w:t>Exemple</w:t>
      </w:r>
    </w:p>
    <w:p w14:paraId="09D4AFB7" w14:textId="77777777" w:rsidR="00A97450" w:rsidRPr="00A97450" w:rsidRDefault="00A97450" w:rsidP="00A97450">
      <w:pPr>
        <w:spacing w:after="0" w:line="240" w:lineRule="auto"/>
      </w:pPr>
      <w:r w:rsidRPr="00A97450">
        <w:t>Une machine utilisée normalement par une entreprise n’est pas évaluée comme si elle devait être vendue immédiatement dans le cadre d’une liquidation.</w:t>
      </w:r>
    </w:p>
    <w:p w14:paraId="3F65B102" w14:textId="77777777" w:rsidR="00A97450" w:rsidRPr="00A97450" w:rsidRDefault="00A97450" w:rsidP="00A97450">
      <w:pPr>
        <w:spacing w:after="0" w:line="240" w:lineRule="auto"/>
        <w:rPr>
          <w:b/>
          <w:bCs/>
        </w:rPr>
      </w:pPr>
      <w:r w:rsidRPr="00A97450">
        <w:rPr>
          <w:b/>
          <w:bCs/>
        </w:rPr>
        <w:t>Si la continuité n’est plus assurée</w:t>
      </w:r>
    </w:p>
    <w:p w14:paraId="3B44760A" w14:textId="77777777" w:rsidR="00A97450" w:rsidRPr="00A97450" w:rsidRDefault="00A97450" w:rsidP="00A97450">
      <w:pPr>
        <w:spacing w:after="0" w:line="240" w:lineRule="auto"/>
      </w:pPr>
      <w:r w:rsidRPr="00A97450">
        <w:t>Les méthodes d’évaluation habituelles peuvent devenir inadaptées.</w:t>
      </w:r>
    </w:p>
    <w:p w14:paraId="4C712F14" w14:textId="77777777" w:rsidR="00A97450" w:rsidRPr="00A97450" w:rsidRDefault="00A97450" w:rsidP="00A97450">
      <w:pPr>
        <w:spacing w:after="0" w:line="240" w:lineRule="auto"/>
      </w:pPr>
      <w:r w:rsidRPr="00A97450">
        <w:t>La situation doit alors être analysée spécifiquement et correctement présentée dans les comptes.</w:t>
      </w:r>
    </w:p>
    <w:p w14:paraId="2D27FD1D" w14:textId="77777777" w:rsidR="00A97450" w:rsidRPr="00A97450" w:rsidRDefault="00A97450" w:rsidP="00A97450">
      <w:pPr>
        <w:spacing w:after="0" w:line="240" w:lineRule="auto"/>
      </w:pPr>
      <w:r w:rsidRPr="00A97450">
        <w:pict w14:anchorId="106D5560">
          <v:rect id="_x0000_i3310" style="width:0;height:1.5pt" o:hralign="center" o:hrstd="t" o:hr="t" fillcolor="#a0a0a0" stroked="f"/>
        </w:pict>
      </w:r>
    </w:p>
    <w:p w14:paraId="72261C1F" w14:textId="77777777" w:rsidR="00A97450" w:rsidRPr="00A97450" w:rsidRDefault="00A97450" w:rsidP="00A97450">
      <w:pPr>
        <w:pStyle w:val="Titre1"/>
      </w:pPr>
      <w:r w:rsidRPr="00A97450">
        <w:t>13. Le principe de prudence</w:t>
      </w:r>
    </w:p>
    <w:p w14:paraId="3B11C241" w14:textId="77777777" w:rsidR="00A97450" w:rsidRPr="00A97450" w:rsidRDefault="00A97450" w:rsidP="00A97450">
      <w:pPr>
        <w:spacing w:after="0" w:line="240" w:lineRule="auto"/>
      </w:pPr>
      <w:r w:rsidRPr="00A97450">
        <w:t xml:space="preserve">Le </w:t>
      </w:r>
      <w:r w:rsidRPr="00A97450">
        <w:rPr>
          <w:b/>
          <w:bCs/>
        </w:rPr>
        <w:t>principe de prudence</w:t>
      </w:r>
      <w:r w:rsidRPr="00A97450">
        <w:t xml:space="preserve"> vise à empêcher le transfert sur des périodes futures d’incertitudes présentes susceptibles d’affecter le patrimoine et le résultat.</w:t>
      </w:r>
    </w:p>
    <w:p w14:paraId="33560E28" w14:textId="77777777" w:rsidR="00A97450" w:rsidRPr="00A97450" w:rsidRDefault="00A97450" w:rsidP="00A97450">
      <w:pPr>
        <w:spacing w:after="0" w:line="240" w:lineRule="auto"/>
      </w:pPr>
      <w:r w:rsidRPr="00A97450">
        <w:t>Il conduit notamment à prendre en considération certains risques et pertes lorsque les conditions comptables sont réunies.</w:t>
      </w:r>
    </w:p>
    <w:p w14:paraId="0769E682" w14:textId="77777777" w:rsidR="00A97450" w:rsidRPr="00A97450" w:rsidRDefault="00A97450" w:rsidP="00A97450">
      <w:pPr>
        <w:spacing w:after="0" w:line="240" w:lineRule="auto"/>
        <w:rPr>
          <w:b/>
          <w:bCs/>
        </w:rPr>
      </w:pPr>
      <w:r w:rsidRPr="00A97450">
        <w:rPr>
          <w:b/>
          <w:bCs/>
        </w:rPr>
        <w:t>Exemple</w:t>
      </w:r>
    </w:p>
    <w:p w14:paraId="04BCB1C4" w14:textId="77777777" w:rsidR="00A97450" w:rsidRPr="00A97450" w:rsidRDefault="00A97450" w:rsidP="00A97450">
      <w:pPr>
        <w:spacing w:after="0" w:line="240" w:lineRule="auto"/>
      </w:pPr>
      <w:r w:rsidRPr="00A97450">
        <w:t>Un actif a perdu de la valeur.</w:t>
      </w:r>
    </w:p>
    <w:p w14:paraId="55FC69F1" w14:textId="77777777" w:rsidR="00A97450" w:rsidRPr="00A97450" w:rsidRDefault="00A97450" w:rsidP="00A97450">
      <w:pPr>
        <w:spacing w:after="0" w:line="240" w:lineRule="auto"/>
      </w:pPr>
      <w:r w:rsidRPr="00A97450">
        <w:t>Si les conditions d’une dépréciation sont remplies, cette perte de valeur doit être prise en compte.</w:t>
      </w:r>
    </w:p>
    <w:p w14:paraId="4F79362A" w14:textId="77777777" w:rsidR="00A97450" w:rsidRPr="00A97450" w:rsidRDefault="00A97450" w:rsidP="00A97450">
      <w:pPr>
        <w:spacing w:after="0" w:line="240" w:lineRule="auto"/>
        <w:rPr>
          <w:b/>
          <w:bCs/>
        </w:rPr>
      </w:pPr>
      <w:r w:rsidRPr="00A97450">
        <w:rPr>
          <w:b/>
          <w:bCs/>
        </w:rPr>
        <w:t>Attention</w:t>
      </w:r>
    </w:p>
    <w:p w14:paraId="781FCD82" w14:textId="3CDE6BA2" w:rsidR="00A97450" w:rsidRPr="00A97450" w:rsidRDefault="00A97450" w:rsidP="00A97450">
      <w:pPr>
        <w:spacing w:after="0" w:line="240" w:lineRule="auto"/>
      </w:pPr>
      <w:r w:rsidRPr="00A97450">
        <w:t>La prudence ne signifie pas</w:t>
      </w:r>
      <w:r>
        <w:t> :</w:t>
      </w:r>
    </w:p>
    <w:p w14:paraId="771BF5C6" w14:textId="235E0E73" w:rsidR="00A97450" w:rsidRPr="00A97450" w:rsidRDefault="00A97450" w:rsidP="00A97450">
      <w:pPr>
        <w:spacing w:after="0" w:line="240" w:lineRule="auto"/>
      </w:pPr>
      <w:r>
        <w:t>« </w:t>
      </w:r>
      <w:r w:rsidRPr="00A97450">
        <w:t>diminuer volontairement le résultat</w:t>
      </w:r>
      <w:r>
        <w:t> »</w:t>
      </w:r>
      <w:r w:rsidRPr="00A97450">
        <w:t>.</w:t>
      </w:r>
    </w:p>
    <w:p w14:paraId="06B0AF62" w14:textId="77777777" w:rsidR="00A97450" w:rsidRPr="00A97450" w:rsidRDefault="00A97450" w:rsidP="00A97450">
      <w:pPr>
        <w:spacing w:after="0" w:line="240" w:lineRule="auto"/>
      </w:pPr>
      <w:r w:rsidRPr="00A97450">
        <w:t>Une prudence excessive serait contraire à l’objectif d’image fidèle.</w:t>
      </w:r>
    </w:p>
    <w:p w14:paraId="4344FF38" w14:textId="77777777" w:rsidR="00A97450" w:rsidRPr="00A97450" w:rsidRDefault="00A97450" w:rsidP="00A97450">
      <w:pPr>
        <w:spacing w:after="0" w:line="240" w:lineRule="auto"/>
      </w:pPr>
      <w:r w:rsidRPr="00A97450">
        <w:pict w14:anchorId="4D710955">
          <v:rect id="_x0000_i3311" style="width:0;height:1.5pt" o:hralign="center" o:hrstd="t" o:hr="t" fillcolor="#a0a0a0" stroked="f"/>
        </w:pict>
      </w:r>
    </w:p>
    <w:p w14:paraId="48FFDF29" w14:textId="77777777" w:rsidR="00A97450" w:rsidRPr="00A97450" w:rsidRDefault="00A97450" w:rsidP="00A97450">
      <w:pPr>
        <w:pStyle w:val="Titre1"/>
      </w:pPr>
      <w:r w:rsidRPr="00A97450">
        <w:t>14. Le principe de permanence des méthodes</w:t>
      </w:r>
    </w:p>
    <w:p w14:paraId="1B20FD3E" w14:textId="77777777" w:rsidR="00A97450" w:rsidRPr="00A97450" w:rsidRDefault="00A97450" w:rsidP="00A97450">
      <w:pPr>
        <w:spacing w:after="0" w:line="240" w:lineRule="auto"/>
      </w:pPr>
      <w:r w:rsidRPr="00A97450">
        <w:t>Une entité doit appliquer de manière cohérente et permanente les mêmes méthodes comptables aux opérations similaires.</w:t>
      </w:r>
    </w:p>
    <w:p w14:paraId="5B9FE2BA" w14:textId="77777777" w:rsidR="00A97450" w:rsidRPr="00A97450" w:rsidRDefault="00A97450" w:rsidP="00A97450">
      <w:pPr>
        <w:spacing w:after="0" w:line="240" w:lineRule="auto"/>
      </w:pPr>
      <w:r w:rsidRPr="00A97450">
        <w:t xml:space="preserve">L’objectif est de conserver la </w:t>
      </w:r>
      <w:r w:rsidRPr="00A97450">
        <w:rPr>
          <w:b/>
          <w:bCs/>
        </w:rPr>
        <w:t>cohérence et la comparabilité des comptes dans le temps</w:t>
      </w:r>
      <w:r w:rsidRPr="00A97450">
        <w:t>.</w:t>
      </w:r>
    </w:p>
    <w:p w14:paraId="1FC9E40C" w14:textId="77777777" w:rsidR="00A97450" w:rsidRPr="00A97450" w:rsidRDefault="00A97450" w:rsidP="00A97450">
      <w:pPr>
        <w:spacing w:after="0" w:line="240" w:lineRule="auto"/>
        <w:rPr>
          <w:b/>
          <w:bCs/>
        </w:rPr>
      </w:pPr>
      <w:r w:rsidRPr="00A97450">
        <w:rPr>
          <w:b/>
          <w:bCs/>
        </w:rPr>
        <w:t>Exemple</w:t>
      </w:r>
    </w:p>
    <w:p w14:paraId="1F3E581C" w14:textId="77777777" w:rsidR="00A97450" w:rsidRPr="00A97450" w:rsidRDefault="00A97450" w:rsidP="00A97450">
      <w:pPr>
        <w:spacing w:after="0" w:line="240" w:lineRule="auto"/>
      </w:pPr>
      <w:r w:rsidRPr="00A97450">
        <w:t>Une entreprise ne peut pas choisir chaque année la méthode comptable qui permet d’obtenir le résultat qui lui convient.</w:t>
      </w:r>
    </w:p>
    <w:p w14:paraId="35C6E30B" w14:textId="77777777" w:rsidR="00A97450" w:rsidRPr="00A97450" w:rsidRDefault="00A97450" w:rsidP="00A97450">
      <w:pPr>
        <w:spacing w:after="0" w:line="240" w:lineRule="auto"/>
      </w:pPr>
      <w:r w:rsidRPr="00A97450">
        <w:t>Un changement reste cependant possible dans les conditions prévues par le PCG.</w:t>
      </w:r>
    </w:p>
    <w:p w14:paraId="2A00F1AB" w14:textId="77777777" w:rsidR="00A97450" w:rsidRPr="00A97450" w:rsidRDefault="00A97450" w:rsidP="00A97450">
      <w:pPr>
        <w:spacing w:after="0" w:line="240" w:lineRule="auto"/>
      </w:pPr>
      <w:r w:rsidRPr="00A97450">
        <w:t>Nous étudierons ces changements au point 22.</w:t>
      </w:r>
    </w:p>
    <w:p w14:paraId="0143EA57" w14:textId="77777777" w:rsidR="00A97450" w:rsidRPr="00A97450" w:rsidRDefault="00A97450" w:rsidP="00A97450">
      <w:pPr>
        <w:spacing w:after="0" w:line="240" w:lineRule="auto"/>
      </w:pPr>
      <w:r w:rsidRPr="00A97450">
        <w:pict w14:anchorId="047FEA55">
          <v:rect id="_x0000_i3312" style="width:0;height:1.5pt" o:hralign="center" o:hrstd="t" o:hr="t" fillcolor="#a0a0a0" stroked="f"/>
        </w:pict>
      </w:r>
    </w:p>
    <w:p w14:paraId="2581CE72" w14:textId="77777777" w:rsidR="00A97450" w:rsidRPr="00A97450" w:rsidRDefault="00A97450" w:rsidP="00A97450">
      <w:pPr>
        <w:pStyle w:val="Titre1"/>
      </w:pPr>
      <w:r w:rsidRPr="00A97450">
        <w:t>15. La règle d’indépendance des exercices</w:t>
      </w:r>
    </w:p>
    <w:p w14:paraId="7FD99FC9" w14:textId="77777777" w:rsidR="00A97450" w:rsidRPr="00A97450" w:rsidRDefault="00A97450" w:rsidP="00A97450">
      <w:pPr>
        <w:spacing w:after="0" w:line="240" w:lineRule="auto"/>
      </w:pPr>
      <w:r w:rsidRPr="00A97450">
        <w:t>L’</w:t>
      </w:r>
      <w:r w:rsidRPr="00A97450">
        <w:rPr>
          <w:b/>
          <w:bCs/>
        </w:rPr>
        <w:t>indépendance des exercices</w:t>
      </w:r>
      <w:r w:rsidRPr="00A97450">
        <w:t xml:space="preserve">, également appelée </w:t>
      </w:r>
      <w:r w:rsidRPr="00A97450">
        <w:rPr>
          <w:b/>
          <w:bCs/>
        </w:rPr>
        <w:t>séparation des exercices</w:t>
      </w:r>
      <w:r w:rsidRPr="00A97450">
        <w:t>, impose de rattacher à chaque exercice les charges et produits qui le concernent.</w:t>
      </w:r>
    </w:p>
    <w:p w14:paraId="5AD3EC73" w14:textId="77777777" w:rsidR="00A97450" w:rsidRPr="00A97450" w:rsidRDefault="00A97450" w:rsidP="00A97450">
      <w:pPr>
        <w:spacing w:after="0" w:line="240" w:lineRule="auto"/>
      </w:pPr>
      <w:r w:rsidRPr="00A97450">
        <w:t xml:space="preserve">Le compte de résultat récapitule les charges et produits de l’exercice </w:t>
      </w:r>
      <w:r w:rsidRPr="00A97450">
        <w:rPr>
          <w:b/>
          <w:bCs/>
        </w:rPr>
        <w:t>indépendamment de leur date de paiement ou d’encaissement</w:t>
      </w:r>
      <w:r w:rsidRPr="00A97450">
        <w:t>.</w:t>
      </w:r>
    </w:p>
    <w:p w14:paraId="0F22D4C4" w14:textId="77777777" w:rsidR="00A97450" w:rsidRPr="00A97450" w:rsidRDefault="00A97450" w:rsidP="00A97450">
      <w:pPr>
        <w:spacing w:after="0" w:line="240" w:lineRule="auto"/>
        <w:rPr>
          <w:b/>
          <w:bCs/>
        </w:rPr>
      </w:pPr>
      <w:r w:rsidRPr="00A97450">
        <w:rPr>
          <w:b/>
          <w:bCs/>
        </w:rPr>
        <w:t>Exemple</w:t>
      </w:r>
    </w:p>
    <w:p w14:paraId="464926A3" w14:textId="77777777" w:rsidR="00A97450" w:rsidRPr="00A97450" w:rsidRDefault="00A97450" w:rsidP="00A97450">
      <w:pPr>
        <w:spacing w:after="0" w:line="240" w:lineRule="auto"/>
      </w:pPr>
      <w:r w:rsidRPr="00A97450">
        <w:t>Une consommation d’électricité concerne décembre N mais la facture est reçue en janvier N+1.</w:t>
      </w:r>
    </w:p>
    <w:p w14:paraId="7F5C2755" w14:textId="77777777" w:rsidR="00A97450" w:rsidRPr="00A97450" w:rsidRDefault="00A97450" w:rsidP="00A97450">
      <w:pPr>
        <w:spacing w:after="0" w:line="240" w:lineRule="auto"/>
      </w:pPr>
      <w:r w:rsidRPr="00A97450">
        <w:t>La charge doit être rattachée à l’exercice N.</w:t>
      </w:r>
    </w:p>
    <w:p w14:paraId="0D5DEC35" w14:textId="77777777" w:rsidR="00A97450" w:rsidRPr="00A97450" w:rsidRDefault="00A97450" w:rsidP="00A97450">
      <w:pPr>
        <w:spacing w:after="0" w:line="240" w:lineRule="auto"/>
        <w:rPr>
          <w:b/>
          <w:bCs/>
        </w:rPr>
      </w:pPr>
      <w:r w:rsidRPr="00A97450">
        <w:rPr>
          <w:b/>
          <w:bCs/>
        </w:rPr>
        <w:t>Applications</w:t>
      </w:r>
    </w:p>
    <w:p w14:paraId="673B5856" w14:textId="4C0B3D3E" w:rsidR="00A97450" w:rsidRPr="00A97450" w:rsidRDefault="00A97450" w:rsidP="00A97450">
      <w:pPr>
        <w:spacing w:after="0" w:line="240" w:lineRule="auto"/>
      </w:pPr>
      <w:r w:rsidRPr="00A97450">
        <w:t>Ce principe explique notamment</w:t>
      </w:r>
      <w:r>
        <w:t> :</w:t>
      </w:r>
    </w:p>
    <w:p w14:paraId="6AB8C616" w14:textId="06193660" w:rsidR="00A97450" w:rsidRPr="00A97450" w:rsidRDefault="00A97450">
      <w:pPr>
        <w:numPr>
          <w:ilvl w:val="0"/>
          <w:numId w:val="21"/>
        </w:numPr>
        <w:spacing w:after="0" w:line="240" w:lineRule="auto"/>
      </w:pPr>
      <w:r w:rsidRPr="00A97450">
        <w:t>les charges à payer</w:t>
      </w:r>
      <w:r>
        <w:t> ;</w:t>
      </w:r>
    </w:p>
    <w:p w14:paraId="4D943AF1" w14:textId="2A0410B0" w:rsidR="00A97450" w:rsidRPr="00A97450" w:rsidRDefault="00A97450">
      <w:pPr>
        <w:numPr>
          <w:ilvl w:val="0"/>
          <w:numId w:val="21"/>
        </w:numPr>
        <w:spacing w:after="0" w:line="240" w:lineRule="auto"/>
      </w:pPr>
      <w:r w:rsidRPr="00A97450">
        <w:t>les produits à recevoir</w:t>
      </w:r>
      <w:r>
        <w:t> ;</w:t>
      </w:r>
    </w:p>
    <w:p w14:paraId="4AA6208B" w14:textId="358823FF" w:rsidR="00A97450" w:rsidRPr="00A97450" w:rsidRDefault="00A97450">
      <w:pPr>
        <w:numPr>
          <w:ilvl w:val="0"/>
          <w:numId w:val="21"/>
        </w:numPr>
        <w:spacing w:after="0" w:line="240" w:lineRule="auto"/>
      </w:pPr>
      <w:r w:rsidRPr="00A97450">
        <w:lastRenderedPageBreak/>
        <w:t>les charges constatées d’avance</w:t>
      </w:r>
      <w:r>
        <w:t> ;</w:t>
      </w:r>
    </w:p>
    <w:p w14:paraId="623B4B09" w14:textId="77777777" w:rsidR="00A97450" w:rsidRPr="00A97450" w:rsidRDefault="00A97450">
      <w:pPr>
        <w:numPr>
          <w:ilvl w:val="0"/>
          <w:numId w:val="21"/>
        </w:numPr>
        <w:spacing w:after="0" w:line="240" w:lineRule="auto"/>
      </w:pPr>
      <w:r w:rsidRPr="00A97450">
        <w:t>les produits constatés d’avance.</w:t>
      </w:r>
    </w:p>
    <w:p w14:paraId="17BA909B" w14:textId="77777777" w:rsidR="00A97450" w:rsidRPr="00A97450" w:rsidRDefault="00A97450" w:rsidP="00A97450">
      <w:pPr>
        <w:spacing w:after="0" w:line="240" w:lineRule="auto"/>
      </w:pPr>
      <w:r w:rsidRPr="00A97450">
        <w:pict w14:anchorId="3A4D7A4C">
          <v:rect id="_x0000_i3313" style="width:0;height:1.5pt" o:hralign="center" o:hrstd="t" o:hr="t" fillcolor="#a0a0a0" stroked="f"/>
        </w:pict>
      </w:r>
    </w:p>
    <w:p w14:paraId="6B4A5935" w14:textId="77777777" w:rsidR="00A97450" w:rsidRPr="00A97450" w:rsidRDefault="00A97450" w:rsidP="00A97450">
      <w:pPr>
        <w:pStyle w:val="Titre1"/>
      </w:pPr>
      <w:r w:rsidRPr="00A97450">
        <w:t>16. La règle du coût historique</w:t>
      </w:r>
    </w:p>
    <w:p w14:paraId="1E4D2A5C" w14:textId="77777777" w:rsidR="00A97450" w:rsidRPr="00A97450" w:rsidRDefault="00A97450" w:rsidP="00A97450">
      <w:pPr>
        <w:spacing w:after="0" w:line="240" w:lineRule="auto"/>
      </w:pPr>
      <w:r w:rsidRPr="00A97450">
        <w:t xml:space="preserve">Selon la logique du </w:t>
      </w:r>
      <w:r w:rsidRPr="00A97450">
        <w:rPr>
          <w:b/>
          <w:bCs/>
        </w:rPr>
        <w:t>coût historique</w:t>
      </w:r>
      <w:r w:rsidRPr="00A97450">
        <w:t>, les éléments entrant dans le patrimoine sont initialement comptabilisés sur la base de leur coût d’entrée déterminé selon les règles applicables.</w:t>
      </w:r>
    </w:p>
    <w:p w14:paraId="115ED8AD" w14:textId="77777777" w:rsidR="00A97450" w:rsidRPr="00A97450" w:rsidRDefault="00A97450" w:rsidP="00A97450">
      <w:pPr>
        <w:spacing w:after="0" w:line="240" w:lineRule="auto"/>
        <w:rPr>
          <w:b/>
          <w:bCs/>
        </w:rPr>
      </w:pPr>
      <w:r w:rsidRPr="00A97450">
        <w:rPr>
          <w:b/>
          <w:bCs/>
        </w:rPr>
        <w:t>Exemple</w:t>
      </w:r>
    </w:p>
    <w:p w14:paraId="7EAB22BC" w14:textId="1A6439D4" w:rsidR="00A97450" w:rsidRPr="00A97450" w:rsidRDefault="00A97450" w:rsidP="00A97450">
      <w:pPr>
        <w:spacing w:after="0" w:line="240" w:lineRule="auto"/>
      </w:pPr>
      <w:r w:rsidRPr="00A97450">
        <w:t>Une machine achetée 50 000</w:t>
      </w:r>
      <w:r>
        <w:t> €</w:t>
      </w:r>
      <w:r w:rsidRPr="00A97450">
        <w:t xml:space="preserve"> est initialement comptabilisée sur la base de son coût d’acquisition et non simplement à partir de sa valeur de revente estimée quelques semaines après l’achat.</w:t>
      </w:r>
    </w:p>
    <w:p w14:paraId="066087DA" w14:textId="77777777" w:rsidR="00A97450" w:rsidRPr="00A97450" w:rsidRDefault="00A97450" w:rsidP="00A97450">
      <w:pPr>
        <w:spacing w:after="0" w:line="240" w:lineRule="auto"/>
        <w:rPr>
          <w:b/>
          <w:bCs/>
        </w:rPr>
      </w:pPr>
      <w:r w:rsidRPr="00A97450">
        <w:rPr>
          <w:b/>
          <w:bCs/>
        </w:rPr>
        <w:t>Attention</w:t>
      </w:r>
    </w:p>
    <w:p w14:paraId="40486BEB" w14:textId="77777777" w:rsidR="00A97450" w:rsidRPr="00A97450" w:rsidRDefault="00A97450" w:rsidP="00A97450">
      <w:pPr>
        <w:spacing w:after="0" w:line="240" w:lineRule="auto"/>
      </w:pPr>
      <w:r w:rsidRPr="00A97450">
        <w:t>Le coût historique n’interdit pas toute évolution ultérieure de la valeur comptable.</w:t>
      </w:r>
    </w:p>
    <w:p w14:paraId="3560F947" w14:textId="41F77C53" w:rsidR="00A97450" w:rsidRPr="00A97450" w:rsidRDefault="00A97450" w:rsidP="00A97450">
      <w:pPr>
        <w:spacing w:after="0" w:line="240" w:lineRule="auto"/>
      </w:pPr>
      <w:r w:rsidRPr="00A97450">
        <w:t>Le PCG prévoit notamment</w:t>
      </w:r>
      <w:r>
        <w:t> :</w:t>
      </w:r>
    </w:p>
    <w:p w14:paraId="6447E9A4" w14:textId="349049FB" w:rsidR="00A97450" w:rsidRPr="00A97450" w:rsidRDefault="00A97450">
      <w:pPr>
        <w:numPr>
          <w:ilvl w:val="0"/>
          <w:numId w:val="22"/>
        </w:numPr>
        <w:spacing w:after="0" w:line="240" w:lineRule="auto"/>
      </w:pPr>
      <w:r w:rsidRPr="00A97450">
        <w:t>les amortissements</w:t>
      </w:r>
      <w:r>
        <w:t> ;</w:t>
      </w:r>
    </w:p>
    <w:p w14:paraId="35DB120B" w14:textId="3A91D6FE" w:rsidR="00A97450" w:rsidRPr="00A97450" w:rsidRDefault="00A97450">
      <w:pPr>
        <w:numPr>
          <w:ilvl w:val="0"/>
          <w:numId w:val="22"/>
        </w:numPr>
        <w:spacing w:after="0" w:line="240" w:lineRule="auto"/>
      </w:pPr>
      <w:r w:rsidRPr="00A97450">
        <w:t>les dépréciations</w:t>
      </w:r>
      <w:r>
        <w:t> ;</w:t>
      </w:r>
    </w:p>
    <w:p w14:paraId="30500531" w14:textId="5C2479B5" w:rsidR="00A97450" w:rsidRPr="00A97450" w:rsidRDefault="00A97450">
      <w:pPr>
        <w:numPr>
          <w:ilvl w:val="0"/>
          <w:numId w:val="22"/>
        </w:numPr>
        <w:spacing w:after="0" w:line="240" w:lineRule="auto"/>
      </w:pPr>
      <w:r w:rsidRPr="00A97450">
        <w:t>certaines réévaluations</w:t>
      </w:r>
      <w:r>
        <w:t> ;</w:t>
      </w:r>
    </w:p>
    <w:p w14:paraId="08E3F070" w14:textId="77777777" w:rsidR="00A97450" w:rsidRPr="00A97450" w:rsidRDefault="00A97450">
      <w:pPr>
        <w:numPr>
          <w:ilvl w:val="0"/>
          <w:numId w:val="22"/>
        </w:numPr>
        <w:spacing w:after="0" w:line="240" w:lineRule="auto"/>
      </w:pPr>
      <w:r w:rsidRPr="00A97450">
        <w:t>des règles particulières pour certaines catégories d’actifs.</w:t>
      </w:r>
    </w:p>
    <w:p w14:paraId="2B8B9EAD" w14:textId="77777777" w:rsidR="00A97450" w:rsidRPr="00A97450" w:rsidRDefault="00A97450" w:rsidP="00A97450">
      <w:pPr>
        <w:spacing w:after="0" w:line="240" w:lineRule="auto"/>
      </w:pPr>
      <w:r w:rsidRPr="00A97450">
        <w:t>Le principe doit donc toujours être combiné avec les règles d’évaluation applicables.</w:t>
      </w:r>
    </w:p>
    <w:p w14:paraId="26533036" w14:textId="77777777" w:rsidR="00A97450" w:rsidRPr="00A97450" w:rsidRDefault="00A97450" w:rsidP="00A97450">
      <w:pPr>
        <w:spacing w:after="0" w:line="240" w:lineRule="auto"/>
      </w:pPr>
      <w:r w:rsidRPr="00A97450">
        <w:pict w14:anchorId="49599106">
          <v:rect id="_x0000_i3314" style="width:0;height:1.5pt" o:hralign="center" o:hrstd="t" o:hr="t" fillcolor="#a0a0a0" stroked="f"/>
        </w:pict>
      </w:r>
    </w:p>
    <w:p w14:paraId="606D4788" w14:textId="77777777" w:rsidR="00A97450" w:rsidRPr="00A97450" w:rsidRDefault="00A97450" w:rsidP="00A97450">
      <w:pPr>
        <w:pStyle w:val="Titre1"/>
      </w:pPr>
      <w:r w:rsidRPr="00A97450">
        <w:t>17. L’intangibilité du bilan d’ouverture</w:t>
      </w:r>
    </w:p>
    <w:p w14:paraId="5B5E03EC" w14:textId="77777777" w:rsidR="00A97450" w:rsidRPr="00A97450" w:rsidRDefault="00A97450" w:rsidP="00A97450">
      <w:pPr>
        <w:spacing w:after="0" w:line="240" w:lineRule="auto"/>
      </w:pPr>
      <w:r w:rsidRPr="00A97450">
        <w:t xml:space="preserve">Le </w:t>
      </w:r>
      <w:r w:rsidRPr="00A97450">
        <w:rPr>
          <w:b/>
          <w:bCs/>
        </w:rPr>
        <w:t>bilan d’ouverture d’un exercice doit correspondre au bilan de clôture de l’exercice précédent avant répartition</w:t>
      </w:r>
      <w:r w:rsidRPr="00A97450">
        <w:t>. Le PCG l’énonce directement.</w:t>
      </w:r>
    </w:p>
    <w:p w14:paraId="40C95491" w14:textId="77777777" w:rsidR="00A97450" w:rsidRPr="00A97450" w:rsidRDefault="00A97450" w:rsidP="00A97450">
      <w:pPr>
        <w:spacing w:after="0" w:line="240" w:lineRule="auto"/>
        <w:rPr>
          <w:b/>
          <w:bCs/>
        </w:rPr>
      </w:pPr>
      <w:r w:rsidRPr="00A97450">
        <w:rPr>
          <w:b/>
          <w:bCs/>
        </w:rPr>
        <w:t>Exemple</w:t>
      </w:r>
    </w:p>
    <w:p w14:paraId="06BE24BB" w14:textId="546C6EF5" w:rsidR="00A97450" w:rsidRPr="00A97450" w:rsidRDefault="00A97450" w:rsidP="00A97450">
      <w:pPr>
        <w:spacing w:after="0" w:line="240" w:lineRule="auto"/>
      </w:pPr>
      <w:r w:rsidRPr="00A97450">
        <w:t>Si une dette figure pour 12 000</w:t>
      </w:r>
      <w:r>
        <w:t> €</w:t>
      </w:r>
      <w:r w:rsidRPr="00A97450">
        <w:t xml:space="preserve"> au bilan de clôture de N, elle doit être reprise pour ce même montant à l’ouverture de N+1, sauf traitement comptable spécifique prévu par les règles relatives aux changements ou corrections.</w:t>
      </w:r>
    </w:p>
    <w:p w14:paraId="4793DC8B" w14:textId="77777777" w:rsidR="00A97450" w:rsidRPr="00A97450" w:rsidRDefault="00A97450" w:rsidP="00A97450">
      <w:pPr>
        <w:spacing w:after="0" w:line="240" w:lineRule="auto"/>
        <w:rPr>
          <w:b/>
          <w:bCs/>
        </w:rPr>
      </w:pPr>
      <w:r w:rsidRPr="00A97450">
        <w:rPr>
          <w:b/>
          <w:bCs/>
        </w:rPr>
        <w:t>Objectif</w:t>
      </w:r>
    </w:p>
    <w:p w14:paraId="0E80ACB2" w14:textId="77777777" w:rsidR="00A97450" w:rsidRPr="00A97450" w:rsidRDefault="00A97450" w:rsidP="00A97450">
      <w:pPr>
        <w:spacing w:after="0" w:line="240" w:lineRule="auto"/>
      </w:pPr>
      <w:r w:rsidRPr="00A97450">
        <w:t>Assurer la continuité de l’information comptable entre les exercices.</w:t>
      </w:r>
    </w:p>
    <w:p w14:paraId="796DE73A" w14:textId="77777777" w:rsidR="00A97450" w:rsidRPr="00A97450" w:rsidRDefault="00A97450" w:rsidP="00A97450">
      <w:pPr>
        <w:spacing w:after="0" w:line="240" w:lineRule="auto"/>
      </w:pPr>
      <w:r w:rsidRPr="00A97450">
        <w:pict w14:anchorId="0C1D5DBD">
          <v:rect id="_x0000_i3315" style="width:0;height:1.5pt" o:hralign="center" o:hrstd="t" o:hr="t" fillcolor="#a0a0a0" stroked="f"/>
        </w:pict>
      </w:r>
    </w:p>
    <w:p w14:paraId="084C8F9D" w14:textId="77777777" w:rsidR="00A97450" w:rsidRPr="00A97450" w:rsidRDefault="00A97450" w:rsidP="00A97450">
      <w:pPr>
        <w:pStyle w:val="Titre1"/>
      </w:pPr>
      <w:r w:rsidRPr="00A97450">
        <w:t>18. La règle de non-compensation</w:t>
      </w:r>
    </w:p>
    <w:p w14:paraId="7C2E311B" w14:textId="39D865A9" w:rsidR="00A97450" w:rsidRPr="00A97450" w:rsidRDefault="00A97450" w:rsidP="00A97450">
      <w:pPr>
        <w:spacing w:after="0" w:line="240" w:lineRule="auto"/>
      </w:pPr>
      <w:r w:rsidRPr="00A97450">
        <w:t>Il ne faut pas compenser</w:t>
      </w:r>
      <w:r>
        <w:t> :</w:t>
      </w:r>
    </w:p>
    <w:p w14:paraId="131EC60F" w14:textId="75D90067" w:rsidR="00A97450" w:rsidRPr="00A97450" w:rsidRDefault="00A97450">
      <w:pPr>
        <w:numPr>
          <w:ilvl w:val="0"/>
          <w:numId w:val="23"/>
        </w:numPr>
        <w:spacing w:after="0" w:line="240" w:lineRule="auto"/>
      </w:pPr>
      <w:r w:rsidRPr="00A97450">
        <w:t>un actif avec un passif</w:t>
      </w:r>
      <w:r>
        <w:t> ;</w:t>
      </w:r>
    </w:p>
    <w:p w14:paraId="1EA0DAA2" w14:textId="77777777" w:rsidR="00A97450" w:rsidRPr="00A97450" w:rsidRDefault="00A97450">
      <w:pPr>
        <w:numPr>
          <w:ilvl w:val="0"/>
          <w:numId w:val="23"/>
        </w:numPr>
        <w:spacing w:after="0" w:line="240" w:lineRule="auto"/>
      </w:pPr>
      <w:r w:rsidRPr="00A97450">
        <w:t>une charge avec un produit,</w:t>
      </w:r>
    </w:p>
    <w:p w14:paraId="1BF040A3" w14:textId="77777777" w:rsidR="00A97450" w:rsidRPr="00A97450" w:rsidRDefault="00A97450" w:rsidP="00A97450">
      <w:pPr>
        <w:spacing w:after="0" w:line="240" w:lineRule="auto"/>
      </w:pPr>
      <w:r w:rsidRPr="00A97450">
        <w:t>sauf disposition particulière l’autorisant.</w:t>
      </w:r>
    </w:p>
    <w:p w14:paraId="6AEC6123" w14:textId="77777777" w:rsidR="00A97450" w:rsidRPr="00A97450" w:rsidRDefault="00A97450" w:rsidP="00A97450">
      <w:pPr>
        <w:spacing w:after="0" w:line="240" w:lineRule="auto"/>
      </w:pPr>
      <w:r w:rsidRPr="00A97450">
        <w:t>Le PCG impose la présentation séparée des éléments d’actif et de passif ainsi que des charges et produits.</w:t>
      </w:r>
    </w:p>
    <w:p w14:paraId="09577733" w14:textId="77777777" w:rsidR="00A97450" w:rsidRPr="00A97450" w:rsidRDefault="00A97450" w:rsidP="00A97450">
      <w:pPr>
        <w:spacing w:after="0" w:line="240" w:lineRule="auto"/>
        <w:rPr>
          <w:b/>
          <w:bCs/>
        </w:rPr>
      </w:pPr>
      <w:r w:rsidRPr="00A97450">
        <w:rPr>
          <w:b/>
          <w:bCs/>
        </w:rPr>
        <w:t>Exemple</w:t>
      </w:r>
    </w:p>
    <w:p w14:paraId="7B84A030" w14:textId="2C81C54E" w:rsidR="00A97450" w:rsidRPr="00A97450" w:rsidRDefault="00A97450" w:rsidP="00A97450">
      <w:pPr>
        <w:spacing w:after="0" w:line="240" w:lineRule="auto"/>
      </w:pPr>
      <w:r w:rsidRPr="00A97450">
        <w:t>Une entreprise possède</w:t>
      </w:r>
      <w:r>
        <w:t> :</w:t>
      </w:r>
    </w:p>
    <w:p w14:paraId="2A024847" w14:textId="42C0FD4B" w:rsidR="00A97450" w:rsidRPr="00A97450" w:rsidRDefault="00A97450">
      <w:pPr>
        <w:numPr>
          <w:ilvl w:val="0"/>
          <w:numId w:val="24"/>
        </w:numPr>
        <w:spacing w:after="0" w:line="240" w:lineRule="auto"/>
      </w:pPr>
      <w:r w:rsidRPr="00A97450">
        <w:t>une créance de 10 000</w:t>
      </w:r>
      <w:r>
        <w:t> €</w:t>
      </w:r>
      <w:r w:rsidRPr="00A97450">
        <w:t xml:space="preserve"> sur la société X</w:t>
      </w:r>
      <w:r>
        <w:t> ;</w:t>
      </w:r>
    </w:p>
    <w:p w14:paraId="349B8291" w14:textId="2BD53153" w:rsidR="00A97450" w:rsidRPr="00A97450" w:rsidRDefault="00A97450">
      <w:pPr>
        <w:numPr>
          <w:ilvl w:val="0"/>
          <w:numId w:val="24"/>
        </w:numPr>
        <w:spacing w:after="0" w:line="240" w:lineRule="auto"/>
      </w:pPr>
      <w:r w:rsidRPr="00A97450">
        <w:t>une dette de 7 000</w:t>
      </w:r>
      <w:r>
        <w:t> €</w:t>
      </w:r>
      <w:r w:rsidRPr="00A97450">
        <w:t xml:space="preserve"> envers la même société.</w:t>
      </w:r>
    </w:p>
    <w:p w14:paraId="4CECC60C" w14:textId="0EDAD8B7" w:rsidR="00A97450" w:rsidRPr="00A97450" w:rsidRDefault="00A97450" w:rsidP="00A97450">
      <w:pPr>
        <w:spacing w:after="0" w:line="240" w:lineRule="auto"/>
      </w:pPr>
      <w:r w:rsidRPr="00A97450">
        <w:t>En principe, il ne faut pas présenter simplement un actif net de 3 000</w:t>
      </w:r>
      <w:r>
        <w:t> €</w:t>
      </w:r>
      <w:r w:rsidRPr="00A97450">
        <w:t>.</w:t>
      </w:r>
    </w:p>
    <w:p w14:paraId="32769E3D" w14:textId="77777777" w:rsidR="00A97450" w:rsidRPr="00A97450" w:rsidRDefault="00A97450" w:rsidP="00A97450">
      <w:pPr>
        <w:spacing w:after="0" w:line="240" w:lineRule="auto"/>
      </w:pPr>
      <w:r w:rsidRPr="00A97450">
        <w:t>Les deux éléments doivent être présentés conformément aux règles qui leur sont propres.</w:t>
      </w:r>
    </w:p>
    <w:p w14:paraId="0BA168DF" w14:textId="77777777" w:rsidR="00A97450" w:rsidRPr="00A97450" w:rsidRDefault="00A97450" w:rsidP="00A97450">
      <w:pPr>
        <w:spacing w:after="0" w:line="240" w:lineRule="auto"/>
        <w:rPr>
          <w:b/>
          <w:bCs/>
        </w:rPr>
      </w:pPr>
      <w:r w:rsidRPr="00A97450">
        <w:rPr>
          <w:b/>
          <w:bCs/>
        </w:rPr>
        <w:t>Objectif</w:t>
      </w:r>
    </w:p>
    <w:p w14:paraId="4A40FD44" w14:textId="50479C1E" w:rsidR="00A97450" w:rsidRPr="00A97450" w:rsidRDefault="00A97450" w:rsidP="00A97450">
      <w:pPr>
        <w:spacing w:after="0" w:line="240" w:lineRule="auto"/>
      </w:pPr>
      <w:r w:rsidRPr="00A97450">
        <w:t>Ne pas masquer</w:t>
      </w:r>
      <w:r>
        <w:t> :</w:t>
      </w:r>
    </w:p>
    <w:p w14:paraId="3A40F3C5" w14:textId="3A75C78B" w:rsidR="00A97450" w:rsidRPr="00A97450" w:rsidRDefault="00A97450">
      <w:pPr>
        <w:numPr>
          <w:ilvl w:val="0"/>
          <w:numId w:val="25"/>
        </w:numPr>
        <w:spacing w:after="0" w:line="240" w:lineRule="auto"/>
      </w:pPr>
      <w:r w:rsidRPr="00A97450">
        <w:t>le niveau réel des actifs</w:t>
      </w:r>
      <w:r>
        <w:t> ;</w:t>
      </w:r>
    </w:p>
    <w:p w14:paraId="68D48CC7" w14:textId="468EAC72" w:rsidR="00A97450" w:rsidRPr="00A97450" w:rsidRDefault="00A97450">
      <w:pPr>
        <w:numPr>
          <w:ilvl w:val="0"/>
          <w:numId w:val="25"/>
        </w:numPr>
        <w:spacing w:after="0" w:line="240" w:lineRule="auto"/>
      </w:pPr>
      <w:r w:rsidRPr="00A97450">
        <w:t>le niveau réel des dettes</w:t>
      </w:r>
      <w:r>
        <w:t> ;</w:t>
      </w:r>
    </w:p>
    <w:p w14:paraId="3D29A1AF" w14:textId="738BA423" w:rsidR="00A97450" w:rsidRPr="00A97450" w:rsidRDefault="00A97450">
      <w:pPr>
        <w:numPr>
          <w:ilvl w:val="0"/>
          <w:numId w:val="25"/>
        </w:numPr>
        <w:spacing w:after="0" w:line="240" w:lineRule="auto"/>
      </w:pPr>
      <w:r w:rsidRPr="00A97450">
        <w:t>le montant réel des charges</w:t>
      </w:r>
      <w:r>
        <w:t> ;</w:t>
      </w:r>
    </w:p>
    <w:p w14:paraId="012C85ED" w14:textId="77777777" w:rsidR="00A97450" w:rsidRPr="00A97450" w:rsidRDefault="00A97450">
      <w:pPr>
        <w:numPr>
          <w:ilvl w:val="0"/>
          <w:numId w:val="25"/>
        </w:numPr>
        <w:spacing w:after="0" w:line="240" w:lineRule="auto"/>
      </w:pPr>
      <w:r w:rsidRPr="00A97450">
        <w:t>le montant réel des produits.</w:t>
      </w:r>
    </w:p>
    <w:p w14:paraId="241A964A" w14:textId="77777777" w:rsidR="00A97450" w:rsidRPr="00A97450" w:rsidRDefault="00A97450" w:rsidP="00A97450">
      <w:pPr>
        <w:spacing w:after="0" w:line="240" w:lineRule="auto"/>
      </w:pPr>
      <w:r w:rsidRPr="00A97450">
        <w:pict w14:anchorId="5DA1C4DF">
          <v:rect id="_x0000_i3316" style="width:0;height:1.5pt" o:hralign="center" o:hrstd="t" o:hr="t" fillcolor="#a0a0a0" stroked="f"/>
        </w:pict>
      </w:r>
    </w:p>
    <w:p w14:paraId="2B044969" w14:textId="77777777" w:rsidR="00A97450" w:rsidRPr="00A97450" w:rsidRDefault="00A97450" w:rsidP="00A97450">
      <w:pPr>
        <w:pStyle w:val="Titre1"/>
      </w:pPr>
      <w:r w:rsidRPr="00A97450">
        <w:lastRenderedPageBreak/>
        <w:t>19. La règle de l’importance relative</w:t>
      </w:r>
    </w:p>
    <w:p w14:paraId="5E810CC8" w14:textId="77777777" w:rsidR="00A97450" w:rsidRPr="00A97450" w:rsidRDefault="00A97450" w:rsidP="00A97450">
      <w:pPr>
        <w:spacing w:after="0" w:line="240" w:lineRule="auto"/>
      </w:pPr>
      <w:r w:rsidRPr="00A97450">
        <w:t>Une information est d’</w:t>
      </w:r>
      <w:r w:rsidRPr="00A97450">
        <w:rPr>
          <w:b/>
          <w:bCs/>
        </w:rPr>
        <w:t>importance significative</w:t>
      </w:r>
      <w:r w:rsidRPr="00A97450">
        <w:t xml:space="preserve"> lorsqu’elle est nécessaire à la bonne compréhension des comptes.</w:t>
      </w:r>
    </w:p>
    <w:p w14:paraId="17D44FBB" w14:textId="77777777" w:rsidR="00A97450" w:rsidRPr="00A97450" w:rsidRDefault="00A97450" w:rsidP="00A97450">
      <w:pPr>
        <w:spacing w:after="0" w:line="240" w:lineRule="auto"/>
      </w:pPr>
      <w:r w:rsidRPr="00A97450">
        <w:t>Le PCG prévoit que l’annexe comporte les informations significatives permettant de compléter et commenter le bilan et le compte de résultat.</w:t>
      </w:r>
    </w:p>
    <w:p w14:paraId="4703667D" w14:textId="77777777" w:rsidR="00A97450" w:rsidRPr="00A97450" w:rsidRDefault="00A97450" w:rsidP="00A97450">
      <w:pPr>
        <w:spacing w:after="0" w:line="240" w:lineRule="auto"/>
        <w:rPr>
          <w:b/>
          <w:bCs/>
        </w:rPr>
      </w:pPr>
      <w:r w:rsidRPr="00A97450">
        <w:rPr>
          <w:b/>
          <w:bCs/>
        </w:rPr>
        <w:t>Exemple</w:t>
      </w:r>
    </w:p>
    <w:p w14:paraId="687FB408" w14:textId="77777777" w:rsidR="00A97450" w:rsidRPr="00A97450" w:rsidRDefault="00A97450" w:rsidP="00A97450">
      <w:pPr>
        <w:spacing w:after="0" w:line="240" w:lineRule="auto"/>
      </w:pPr>
      <w:r w:rsidRPr="00A97450">
        <w:t>Une petite différence sans conséquence pour la compréhension des comptes ne présente pas le même enjeu qu’un litige susceptible d’entraîner une charge représentant une part importante du résultat annuel.</w:t>
      </w:r>
    </w:p>
    <w:p w14:paraId="062A82F5" w14:textId="77777777" w:rsidR="00A97450" w:rsidRPr="00A97450" w:rsidRDefault="00A97450" w:rsidP="00A97450">
      <w:pPr>
        <w:spacing w:after="0" w:line="240" w:lineRule="auto"/>
        <w:rPr>
          <w:b/>
          <w:bCs/>
        </w:rPr>
      </w:pPr>
      <w:r w:rsidRPr="00A97450">
        <w:rPr>
          <w:b/>
          <w:bCs/>
        </w:rPr>
        <w:t>Attention</w:t>
      </w:r>
    </w:p>
    <w:p w14:paraId="27EEA1A2" w14:textId="77777777" w:rsidR="00A97450" w:rsidRPr="00A97450" w:rsidRDefault="00A97450" w:rsidP="00A97450">
      <w:pPr>
        <w:spacing w:after="0" w:line="240" w:lineRule="auto"/>
      </w:pPr>
      <w:r w:rsidRPr="00A97450">
        <w:t>L’importance relative ne signifie pas qu’une entreprise peut ignorer librement les règles pour les petits montants.</w:t>
      </w:r>
    </w:p>
    <w:p w14:paraId="08BB9946" w14:textId="77777777" w:rsidR="00A97450" w:rsidRPr="00A97450" w:rsidRDefault="00A97450" w:rsidP="00A97450">
      <w:pPr>
        <w:spacing w:after="0" w:line="240" w:lineRule="auto"/>
      </w:pPr>
      <w:r w:rsidRPr="00A97450">
        <w:t xml:space="preserve">Il s’agit d’un principe d’appréciation de la </w:t>
      </w:r>
      <w:r w:rsidRPr="00A97450">
        <w:rPr>
          <w:b/>
          <w:bCs/>
        </w:rPr>
        <w:t>significativité de l’information</w:t>
      </w:r>
      <w:r w:rsidRPr="00A97450">
        <w:t>.</w:t>
      </w:r>
    </w:p>
    <w:p w14:paraId="1FF3C89B" w14:textId="77777777" w:rsidR="00A97450" w:rsidRPr="00A97450" w:rsidRDefault="00A97450" w:rsidP="00A97450">
      <w:pPr>
        <w:spacing w:after="0" w:line="240" w:lineRule="auto"/>
      </w:pPr>
      <w:r w:rsidRPr="00A97450">
        <w:pict w14:anchorId="220A751B">
          <v:rect id="_x0000_i3317" style="width:0;height:1.5pt" o:hralign="center" o:hrstd="t" o:hr="t" fillcolor="#a0a0a0" stroked="f"/>
        </w:pict>
      </w:r>
    </w:p>
    <w:p w14:paraId="6663A24C" w14:textId="77777777" w:rsidR="00A97450" w:rsidRPr="00A97450" w:rsidRDefault="00A97450" w:rsidP="00A97450">
      <w:pPr>
        <w:pStyle w:val="Titre1"/>
      </w:pPr>
      <w:r w:rsidRPr="00A97450">
        <w:t>20. Synthèse des douze principes et règles fondamentales</w:t>
      </w:r>
    </w:p>
    <w:tbl>
      <w:tblPr>
        <w:tblStyle w:val="Grilledutableau"/>
        <w:tblW w:w="0" w:type="auto"/>
        <w:tblLook w:val="04A0" w:firstRow="1" w:lastRow="0" w:firstColumn="1" w:lastColumn="0" w:noHBand="0" w:noVBand="1"/>
      </w:tblPr>
      <w:tblGrid>
        <w:gridCol w:w="2596"/>
        <w:gridCol w:w="4649"/>
        <w:gridCol w:w="3211"/>
      </w:tblGrid>
      <w:tr w:rsidR="00A97450" w:rsidRPr="00A97450" w14:paraId="1171F56C" w14:textId="77777777" w:rsidTr="00A97450">
        <w:trPr>
          <w:tblHeader/>
        </w:trPr>
        <w:tc>
          <w:tcPr>
            <w:tcW w:w="0" w:type="auto"/>
            <w:hideMark/>
          </w:tcPr>
          <w:p w14:paraId="17561C19" w14:textId="77777777" w:rsidR="00A97450" w:rsidRPr="00A97450" w:rsidRDefault="00A97450" w:rsidP="00A97450">
            <w:pPr>
              <w:jc w:val="left"/>
              <w:rPr>
                <w:rFonts w:ascii="Calibri" w:hAnsi="Calibri" w:cs="Calibri"/>
                <w:b/>
                <w:bCs/>
                <w:sz w:val="20"/>
              </w:rPr>
            </w:pPr>
            <w:r w:rsidRPr="00A97450">
              <w:rPr>
                <w:rFonts w:ascii="Calibri" w:hAnsi="Calibri" w:cs="Calibri"/>
                <w:b/>
                <w:bCs/>
                <w:sz w:val="20"/>
              </w:rPr>
              <w:t>Principe ou règle</w:t>
            </w:r>
          </w:p>
        </w:tc>
        <w:tc>
          <w:tcPr>
            <w:tcW w:w="0" w:type="auto"/>
            <w:hideMark/>
          </w:tcPr>
          <w:p w14:paraId="5D80A06E" w14:textId="77777777" w:rsidR="00A97450" w:rsidRPr="00A97450" w:rsidRDefault="00A97450" w:rsidP="00A97450">
            <w:pPr>
              <w:jc w:val="left"/>
              <w:rPr>
                <w:rFonts w:ascii="Calibri" w:hAnsi="Calibri" w:cs="Calibri"/>
                <w:b/>
                <w:bCs/>
                <w:sz w:val="20"/>
              </w:rPr>
            </w:pPr>
            <w:r w:rsidRPr="00A97450">
              <w:rPr>
                <w:rFonts w:ascii="Calibri" w:hAnsi="Calibri" w:cs="Calibri"/>
                <w:b/>
                <w:bCs/>
                <w:sz w:val="20"/>
              </w:rPr>
              <w:t>Idée essentielle</w:t>
            </w:r>
          </w:p>
        </w:tc>
        <w:tc>
          <w:tcPr>
            <w:tcW w:w="0" w:type="auto"/>
            <w:hideMark/>
          </w:tcPr>
          <w:p w14:paraId="2A978264" w14:textId="77777777" w:rsidR="00A97450" w:rsidRPr="00A97450" w:rsidRDefault="00A97450" w:rsidP="00A97450">
            <w:pPr>
              <w:jc w:val="left"/>
              <w:rPr>
                <w:rFonts w:ascii="Calibri" w:hAnsi="Calibri" w:cs="Calibri"/>
                <w:b/>
                <w:bCs/>
                <w:sz w:val="20"/>
              </w:rPr>
            </w:pPr>
            <w:r w:rsidRPr="00A97450">
              <w:rPr>
                <w:rFonts w:ascii="Calibri" w:hAnsi="Calibri" w:cs="Calibri"/>
                <w:b/>
                <w:bCs/>
                <w:sz w:val="20"/>
              </w:rPr>
              <w:t>Exemple d’application</w:t>
            </w:r>
          </w:p>
        </w:tc>
      </w:tr>
      <w:tr w:rsidR="00A97450" w:rsidRPr="00A97450" w14:paraId="27887813" w14:textId="77777777" w:rsidTr="00A97450">
        <w:tc>
          <w:tcPr>
            <w:tcW w:w="0" w:type="auto"/>
            <w:hideMark/>
          </w:tcPr>
          <w:p w14:paraId="5BE0E176" w14:textId="77777777" w:rsidR="00A97450" w:rsidRPr="00A97450" w:rsidRDefault="00A97450" w:rsidP="00A97450">
            <w:pPr>
              <w:jc w:val="left"/>
              <w:rPr>
                <w:rFonts w:ascii="Calibri" w:hAnsi="Calibri" w:cs="Calibri"/>
                <w:sz w:val="20"/>
              </w:rPr>
            </w:pPr>
            <w:r w:rsidRPr="00A97450">
              <w:rPr>
                <w:rFonts w:ascii="Calibri" w:hAnsi="Calibri" w:cs="Calibri"/>
                <w:b/>
                <w:bCs/>
                <w:sz w:val="20"/>
              </w:rPr>
              <w:t>Image fidèle</w:t>
            </w:r>
          </w:p>
        </w:tc>
        <w:tc>
          <w:tcPr>
            <w:tcW w:w="0" w:type="auto"/>
            <w:hideMark/>
          </w:tcPr>
          <w:p w14:paraId="5D3652AB" w14:textId="77777777" w:rsidR="00A97450" w:rsidRPr="00A97450" w:rsidRDefault="00A97450" w:rsidP="00A97450">
            <w:pPr>
              <w:jc w:val="left"/>
              <w:rPr>
                <w:rFonts w:ascii="Calibri" w:hAnsi="Calibri" w:cs="Calibri"/>
                <w:sz w:val="20"/>
              </w:rPr>
            </w:pPr>
            <w:r w:rsidRPr="00A97450">
              <w:rPr>
                <w:rFonts w:ascii="Calibri" w:hAnsi="Calibri" w:cs="Calibri"/>
                <w:sz w:val="20"/>
              </w:rPr>
              <w:t>Représenter fidèlement patrimoine, situation financière et résultat</w:t>
            </w:r>
          </w:p>
        </w:tc>
        <w:tc>
          <w:tcPr>
            <w:tcW w:w="0" w:type="auto"/>
            <w:hideMark/>
          </w:tcPr>
          <w:p w14:paraId="080E4C0E" w14:textId="77777777" w:rsidR="00A97450" w:rsidRPr="00A97450" w:rsidRDefault="00A97450" w:rsidP="00A97450">
            <w:pPr>
              <w:jc w:val="left"/>
              <w:rPr>
                <w:rFonts w:ascii="Calibri" w:hAnsi="Calibri" w:cs="Calibri"/>
                <w:sz w:val="20"/>
              </w:rPr>
            </w:pPr>
            <w:r w:rsidRPr="00A97450">
              <w:rPr>
                <w:rFonts w:ascii="Calibri" w:hAnsi="Calibri" w:cs="Calibri"/>
                <w:sz w:val="20"/>
              </w:rPr>
              <w:t>Information complémentaire dans l’annexe</w:t>
            </w:r>
          </w:p>
        </w:tc>
      </w:tr>
      <w:tr w:rsidR="00A97450" w:rsidRPr="00A97450" w14:paraId="7ED1C1A4" w14:textId="77777777" w:rsidTr="00A97450">
        <w:tc>
          <w:tcPr>
            <w:tcW w:w="0" w:type="auto"/>
            <w:hideMark/>
          </w:tcPr>
          <w:p w14:paraId="39733337" w14:textId="77777777" w:rsidR="00A97450" w:rsidRPr="00A97450" w:rsidRDefault="00A97450" w:rsidP="00A97450">
            <w:pPr>
              <w:jc w:val="left"/>
              <w:rPr>
                <w:rFonts w:ascii="Calibri" w:hAnsi="Calibri" w:cs="Calibri"/>
                <w:sz w:val="20"/>
              </w:rPr>
            </w:pPr>
            <w:r w:rsidRPr="00A97450">
              <w:rPr>
                <w:rFonts w:ascii="Calibri" w:hAnsi="Calibri" w:cs="Calibri"/>
                <w:b/>
                <w:bCs/>
                <w:sz w:val="20"/>
              </w:rPr>
              <w:t>Régularité</w:t>
            </w:r>
          </w:p>
        </w:tc>
        <w:tc>
          <w:tcPr>
            <w:tcW w:w="0" w:type="auto"/>
            <w:hideMark/>
          </w:tcPr>
          <w:p w14:paraId="1380954E" w14:textId="77777777" w:rsidR="00A97450" w:rsidRPr="00A97450" w:rsidRDefault="00A97450" w:rsidP="00A97450">
            <w:pPr>
              <w:jc w:val="left"/>
              <w:rPr>
                <w:rFonts w:ascii="Calibri" w:hAnsi="Calibri" w:cs="Calibri"/>
                <w:sz w:val="20"/>
              </w:rPr>
            </w:pPr>
            <w:r w:rsidRPr="00A97450">
              <w:rPr>
                <w:rFonts w:ascii="Calibri" w:hAnsi="Calibri" w:cs="Calibri"/>
                <w:sz w:val="20"/>
              </w:rPr>
              <w:t>Respecter les règles applicables</w:t>
            </w:r>
          </w:p>
        </w:tc>
        <w:tc>
          <w:tcPr>
            <w:tcW w:w="0" w:type="auto"/>
            <w:hideMark/>
          </w:tcPr>
          <w:p w14:paraId="46ECA063" w14:textId="77777777" w:rsidR="00A97450" w:rsidRPr="00A97450" w:rsidRDefault="00A97450" w:rsidP="00A97450">
            <w:pPr>
              <w:jc w:val="left"/>
              <w:rPr>
                <w:rFonts w:ascii="Calibri" w:hAnsi="Calibri" w:cs="Calibri"/>
                <w:sz w:val="20"/>
              </w:rPr>
            </w:pPr>
            <w:r w:rsidRPr="00A97450">
              <w:rPr>
                <w:rFonts w:ascii="Calibri" w:hAnsi="Calibri" w:cs="Calibri"/>
                <w:sz w:val="20"/>
              </w:rPr>
              <w:t>Application du PCG</w:t>
            </w:r>
          </w:p>
        </w:tc>
      </w:tr>
      <w:tr w:rsidR="00A97450" w:rsidRPr="00A97450" w14:paraId="4E824107" w14:textId="77777777" w:rsidTr="00A97450">
        <w:tc>
          <w:tcPr>
            <w:tcW w:w="0" w:type="auto"/>
            <w:hideMark/>
          </w:tcPr>
          <w:p w14:paraId="4FFE9BF3" w14:textId="77777777" w:rsidR="00A97450" w:rsidRPr="00A97450" w:rsidRDefault="00A97450" w:rsidP="00A97450">
            <w:pPr>
              <w:jc w:val="left"/>
              <w:rPr>
                <w:rFonts w:ascii="Calibri" w:hAnsi="Calibri" w:cs="Calibri"/>
                <w:sz w:val="20"/>
              </w:rPr>
            </w:pPr>
            <w:r w:rsidRPr="00A97450">
              <w:rPr>
                <w:rFonts w:ascii="Calibri" w:hAnsi="Calibri" w:cs="Calibri"/>
                <w:b/>
                <w:bCs/>
                <w:sz w:val="20"/>
              </w:rPr>
              <w:t>Sincérité</w:t>
            </w:r>
          </w:p>
        </w:tc>
        <w:tc>
          <w:tcPr>
            <w:tcW w:w="0" w:type="auto"/>
            <w:hideMark/>
          </w:tcPr>
          <w:p w14:paraId="75B19E5A" w14:textId="77777777" w:rsidR="00A97450" w:rsidRPr="00A97450" w:rsidRDefault="00A97450" w:rsidP="00A97450">
            <w:pPr>
              <w:jc w:val="left"/>
              <w:rPr>
                <w:rFonts w:ascii="Calibri" w:hAnsi="Calibri" w:cs="Calibri"/>
                <w:sz w:val="20"/>
              </w:rPr>
            </w:pPr>
            <w:r w:rsidRPr="00A97450">
              <w:rPr>
                <w:rFonts w:ascii="Calibri" w:hAnsi="Calibri" w:cs="Calibri"/>
                <w:sz w:val="20"/>
              </w:rPr>
              <w:t>Appliquer loyalement les règles selon les informations disponibles</w:t>
            </w:r>
          </w:p>
        </w:tc>
        <w:tc>
          <w:tcPr>
            <w:tcW w:w="0" w:type="auto"/>
            <w:hideMark/>
          </w:tcPr>
          <w:p w14:paraId="3A14E42C" w14:textId="77777777" w:rsidR="00A97450" w:rsidRPr="00A97450" w:rsidRDefault="00A97450" w:rsidP="00A97450">
            <w:pPr>
              <w:jc w:val="left"/>
              <w:rPr>
                <w:rFonts w:ascii="Calibri" w:hAnsi="Calibri" w:cs="Calibri"/>
                <w:sz w:val="20"/>
              </w:rPr>
            </w:pPr>
            <w:r w:rsidRPr="00A97450">
              <w:rPr>
                <w:rFonts w:ascii="Calibri" w:hAnsi="Calibri" w:cs="Calibri"/>
                <w:sz w:val="20"/>
              </w:rPr>
              <w:t>Prendre en compte un risque connu</w:t>
            </w:r>
          </w:p>
        </w:tc>
      </w:tr>
      <w:tr w:rsidR="00A97450" w:rsidRPr="00A97450" w14:paraId="66743D36" w14:textId="77777777" w:rsidTr="00A97450">
        <w:tc>
          <w:tcPr>
            <w:tcW w:w="0" w:type="auto"/>
            <w:hideMark/>
          </w:tcPr>
          <w:p w14:paraId="76058999" w14:textId="77777777" w:rsidR="00A97450" w:rsidRPr="00A97450" w:rsidRDefault="00A97450" w:rsidP="00A97450">
            <w:pPr>
              <w:jc w:val="left"/>
              <w:rPr>
                <w:rFonts w:ascii="Calibri" w:hAnsi="Calibri" w:cs="Calibri"/>
                <w:sz w:val="20"/>
              </w:rPr>
            </w:pPr>
            <w:r w:rsidRPr="00A97450">
              <w:rPr>
                <w:rFonts w:ascii="Calibri" w:hAnsi="Calibri" w:cs="Calibri"/>
                <w:b/>
                <w:bCs/>
                <w:sz w:val="20"/>
              </w:rPr>
              <w:t>Comparabilité</w:t>
            </w:r>
          </w:p>
        </w:tc>
        <w:tc>
          <w:tcPr>
            <w:tcW w:w="0" w:type="auto"/>
            <w:hideMark/>
          </w:tcPr>
          <w:p w14:paraId="4D7CAD8A" w14:textId="77777777" w:rsidR="00A97450" w:rsidRPr="00A97450" w:rsidRDefault="00A97450" w:rsidP="00A97450">
            <w:pPr>
              <w:jc w:val="left"/>
              <w:rPr>
                <w:rFonts w:ascii="Calibri" w:hAnsi="Calibri" w:cs="Calibri"/>
                <w:sz w:val="20"/>
              </w:rPr>
            </w:pPr>
            <w:r w:rsidRPr="00A97450">
              <w:rPr>
                <w:rFonts w:ascii="Calibri" w:hAnsi="Calibri" w:cs="Calibri"/>
                <w:sz w:val="20"/>
              </w:rPr>
              <w:t>Permettre les comparaisons dans le temps</w:t>
            </w:r>
          </w:p>
        </w:tc>
        <w:tc>
          <w:tcPr>
            <w:tcW w:w="0" w:type="auto"/>
            <w:hideMark/>
          </w:tcPr>
          <w:p w14:paraId="431A63D2" w14:textId="77777777" w:rsidR="00A97450" w:rsidRPr="00A97450" w:rsidRDefault="00A97450" w:rsidP="00A97450">
            <w:pPr>
              <w:jc w:val="left"/>
              <w:rPr>
                <w:rFonts w:ascii="Calibri" w:hAnsi="Calibri" w:cs="Calibri"/>
                <w:sz w:val="20"/>
              </w:rPr>
            </w:pPr>
            <w:r w:rsidRPr="00A97450">
              <w:rPr>
                <w:rFonts w:ascii="Calibri" w:hAnsi="Calibri" w:cs="Calibri"/>
                <w:sz w:val="20"/>
              </w:rPr>
              <w:t>Méthodes stables</w:t>
            </w:r>
          </w:p>
        </w:tc>
      </w:tr>
      <w:tr w:rsidR="00A97450" w:rsidRPr="00A97450" w14:paraId="3D6A85F8" w14:textId="77777777" w:rsidTr="00A97450">
        <w:tc>
          <w:tcPr>
            <w:tcW w:w="0" w:type="auto"/>
            <w:hideMark/>
          </w:tcPr>
          <w:p w14:paraId="145D3D3A" w14:textId="77777777" w:rsidR="00A97450" w:rsidRPr="00A97450" w:rsidRDefault="00A97450" w:rsidP="00A97450">
            <w:pPr>
              <w:jc w:val="left"/>
              <w:rPr>
                <w:rFonts w:ascii="Calibri" w:hAnsi="Calibri" w:cs="Calibri"/>
                <w:sz w:val="20"/>
              </w:rPr>
            </w:pPr>
            <w:r w:rsidRPr="00A97450">
              <w:rPr>
                <w:rFonts w:ascii="Calibri" w:hAnsi="Calibri" w:cs="Calibri"/>
                <w:b/>
                <w:bCs/>
                <w:sz w:val="20"/>
              </w:rPr>
              <w:t>Continuité d’activité</w:t>
            </w:r>
          </w:p>
        </w:tc>
        <w:tc>
          <w:tcPr>
            <w:tcW w:w="0" w:type="auto"/>
            <w:hideMark/>
          </w:tcPr>
          <w:p w14:paraId="5802902B" w14:textId="77777777" w:rsidR="00A97450" w:rsidRPr="00A97450" w:rsidRDefault="00A97450" w:rsidP="00A97450">
            <w:pPr>
              <w:jc w:val="left"/>
              <w:rPr>
                <w:rFonts w:ascii="Calibri" w:hAnsi="Calibri" w:cs="Calibri"/>
                <w:sz w:val="20"/>
              </w:rPr>
            </w:pPr>
            <w:r w:rsidRPr="00A97450">
              <w:rPr>
                <w:rFonts w:ascii="Calibri" w:hAnsi="Calibri" w:cs="Calibri"/>
                <w:sz w:val="20"/>
              </w:rPr>
              <w:t>Supposer normalement la poursuite de l’activité</w:t>
            </w:r>
          </w:p>
        </w:tc>
        <w:tc>
          <w:tcPr>
            <w:tcW w:w="0" w:type="auto"/>
            <w:hideMark/>
          </w:tcPr>
          <w:p w14:paraId="7561A100" w14:textId="77777777" w:rsidR="00A97450" w:rsidRPr="00A97450" w:rsidRDefault="00A97450" w:rsidP="00A97450">
            <w:pPr>
              <w:jc w:val="left"/>
              <w:rPr>
                <w:rFonts w:ascii="Calibri" w:hAnsi="Calibri" w:cs="Calibri"/>
                <w:sz w:val="20"/>
              </w:rPr>
            </w:pPr>
            <w:r w:rsidRPr="00A97450">
              <w:rPr>
                <w:rFonts w:ascii="Calibri" w:hAnsi="Calibri" w:cs="Calibri"/>
                <w:sz w:val="20"/>
              </w:rPr>
              <w:t>Évaluation hors logique de liquidation</w:t>
            </w:r>
          </w:p>
        </w:tc>
      </w:tr>
      <w:tr w:rsidR="00A97450" w:rsidRPr="00A97450" w14:paraId="44A6E053" w14:textId="77777777" w:rsidTr="00A97450">
        <w:tc>
          <w:tcPr>
            <w:tcW w:w="0" w:type="auto"/>
            <w:hideMark/>
          </w:tcPr>
          <w:p w14:paraId="3AA2566F" w14:textId="77777777" w:rsidR="00A97450" w:rsidRPr="00A97450" w:rsidRDefault="00A97450" w:rsidP="00A97450">
            <w:pPr>
              <w:jc w:val="left"/>
              <w:rPr>
                <w:rFonts w:ascii="Calibri" w:hAnsi="Calibri" w:cs="Calibri"/>
                <w:sz w:val="20"/>
              </w:rPr>
            </w:pPr>
            <w:r w:rsidRPr="00A97450">
              <w:rPr>
                <w:rFonts w:ascii="Calibri" w:hAnsi="Calibri" w:cs="Calibri"/>
                <w:b/>
                <w:bCs/>
                <w:sz w:val="20"/>
              </w:rPr>
              <w:t>Prudence</w:t>
            </w:r>
          </w:p>
        </w:tc>
        <w:tc>
          <w:tcPr>
            <w:tcW w:w="0" w:type="auto"/>
            <w:hideMark/>
          </w:tcPr>
          <w:p w14:paraId="00DAA3EA" w14:textId="77777777" w:rsidR="00A97450" w:rsidRPr="00A97450" w:rsidRDefault="00A97450" w:rsidP="00A97450">
            <w:pPr>
              <w:jc w:val="left"/>
              <w:rPr>
                <w:rFonts w:ascii="Calibri" w:hAnsi="Calibri" w:cs="Calibri"/>
                <w:sz w:val="20"/>
              </w:rPr>
            </w:pPr>
            <w:r w:rsidRPr="00A97450">
              <w:rPr>
                <w:rFonts w:ascii="Calibri" w:hAnsi="Calibri" w:cs="Calibri"/>
                <w:sz w:val="20"/>
              </w:rPr>
              <w:t>Prendre correctement en compte les incertitudes</w:t>
            </w:r>
          </w:p>
        </w:tc>
        <w:tc>
          <w:tcPr>
            <w:tcW w:w="0" w:type="auto"/>
            <w:hideMark/>
          </w:tcPr>
          <w:p w14:paraId="5ECEF556" w14:textId="77777777" w:rsidR="00A97450" w:rsidRPr="00A97450" w:rsidRDefault="00A97450" w:rsidP="00A97450">
            <w:pPr>
              <w:jc w:val="left"/>
              <w:rPr>
                <w:rFonts w:ascii="Calibri" w:hAnsi="Calibri" w:cs="Calibri"/>
                <w:sz w:val="20"/>
              </w:rPr>
            </w:pPr>
            <w:r w:rsidRPr="00A97450">
              <w:rPr>
                <w:rFonts w:ascii="Calibri" w:hAnsi="Calibri" w:cs="Calibri"/>
                <w:sz w:val="20"/>
              </w:rPr>
              <w:t>Dépréciation d’un actif</w:t>
            </w:r>
          </w:p>
        </w:tc>
      </w:tr>
      <w:tr w:rsidR="00A97450" w:rsidRPr="00A97450" w14:paraId="55CC57A5" w14:textId="77777777" w:rsidTr="00A97450">
        <w:tc>
          <w:tcPr>
            <w:tcW w:w="0" w:type="auto"/>
            <w:hideMark/>
          </w:tcPr>
          <w:p w14:paraId="50F8ADAA" w14:textId="77777777" w:rsidR="00A97450" w:rsidRPr="00A97450" w:rsidRDefault="00A97450" w:rsidP="00A97450">
            <w:pPr>
              <w:jc w:val="left"/>
              <w:rPr>
                <w:rFonts w:ascii="Calibri" w:hAnsi="Calibri" w:cs="Calibri"/>
                <w:sz w:val="20"/>
              </w:rPr>
            </w:pPr>
            <w:r w:rsidRPr="00A97450">
              <w:rPr>
                <w:rFonts w:ascii="Calibri" w:hAnsi="Calibri" w:cs="Calibri"/>
                <w:b/>
                <w:bCs/>
                <w:sz w:val="20"/>
              </w:rPr>
              <w:t>Permanence des méthodes</w:t>
            </w:r>
          </w:p>
        </w:tc>
        <w:tc>
          <w:tcPr>
            <w:tcW w:w="0" w:type="auto"/>
            <w:hideMark/>
          </w:tcPr>
          <w:p w14:paraId="6F2B209B" w14:textId="77777777" w:rsidR="00A97450" w:rsidRPr="00A97450" w:rsidRDefault="00A97450" w:rsidP="00A97450">
            <w:pPr>
              <w:jc w:val="left"/>
              <w:rPr>
                <w:rFonts w:ascii="Calibri" w:hAnsi="Calibri" w:cs="Calibri"/>
                <w:sz w:val="20"/>
              </w:rPr>
            </w:pPr>
            <w:r w:rsidRPr="00A97450">
              <w:rPr>
                <w:rFonts w:ascii="Calibri" w:hAnsi="Calibri" w:cs="Calibri"/>
                <w:sz w:val="20"/>
              </w:rPr>
              <w:t>Appliquer durablement les mêmes méthodes</w:t>
            </w:r>
          </w:p>
        </w:tc>
        <w:tc>
          <w:tcPr>
            <w:tcW w:w="0" w:type="auto"/>
            <w:hideMark/>
          </w:tcPr>
          <w:p w14:paraId="648ECFF2" w14:textId="77777777" w:rsidR="00A97450" w:rsidRPr="00A97450" w:rsidRDefault="00A97450" w:rsidP="00A97450">
            <w:pPr>
              <w:jc w:val="left"/>
              <w:rPr>
                <w:rFonts w:ascii="Calibri" w:hAnsi="Calibri" w:cs="Calibri"/>
                <w:sz w:val="20"/>
              </w:rPr>
            </w:pPr>
            <w:r w:rsidRPr="00A97450">
              <w:rPr>
                <w:rFonts w:ascii="Calibri" w:hAnsi="Calibri" w:cs="Calibri"/>
                <w:sz w:val="20"/>
              </w:rPr>
              <w:t>Même traitement d’un exercice à l’autre</w:t>
            </w:r>
          </w:p>
        </w:tc>
      </w:tr>
      <w:tr w:rsidR="00A97450" w:rsidRPr="00A97450" w14:paraId="530D4936" w14:textId="77777777" w:rsidTr="00A97450">
        <w:tc>
          <w:tcPr>
            <w:tcW w:w="0" w:type="auto"/>
            <w:hideMark/>
          </w:tcPr>
          <w:p w14:paraId="1B4B41E4" w14:textId="77777777" w:rsidR="00A97450" w:rsidRPr="00A97450" w:rsidRDefault="00A97450" w:rsidP="00A97450">
            <w:pPr>
              <w:jc w:val="left"/>
              <w:rPr>
                <w:rFonts w:ascii="Calibri" w:hAnsi="Calibri" w:cs="Calibri"/>
                <w:sz w:val="20"/>
              </w:rPr>
            </w:pPr>
            <w:r w:rsidRPr="00A97450">
              <w:rPr>
                <w:rFonts w:ascii="Calibri" w:hAnsi="Calibri" w:cs="Calibri"/>
                <w:b/>
                <w:bCs/>
                <w:sz w:val="20"/>
              </w:rPr>
              <w:t>Indépendance des exercices</w:t>
            </w:r>
          </w:p>
        </w:tc>
        <w:tc>
          <w:tcPr>
            <w:tcW w:w="0" w:type="auto"/>
            <w:hideMark/>
          </w:tcPr>
          <w:p w14:paraId="312B7F5A" w14:textId="77777777" w:rsidR="00A97450" w:rsidRPr="00A97450" w:rsidRDefault="00A97450" w:rsidP="00A97450">
            <w:pPr>
              <w:jc w:val="left"/>
              <w:rPr>
                <w:rFonts w:ascii="Calibri" w:hAnsi="Calibri" w:cs="Calibri"/>
                <w:sz w:val="20"/>
              </w:rPr>
            </w:pPr>
            <w:r w:rsidRPr="00A97450">
              <w:rPr>
                <w:rFonts w:ascii="Calibri" w:hAnsi="Calibri" w:cs="Calibri"/>
                <w:sz w:val="20"/>
              </w:rPr>
              <w:t>Rattacher charges et produits au bon exercice</w:t>
            </w:r>
          </w:p>
        </w:tc>
        <w:tc>
          <w:tcPr>
            <w:tcW w:w="0" w:type="auto"/>
            <w:hideMark/>
          </w:tcPr>
          <w:p w14:paraId="6CC16A06" w14:textId="77777777" w:rsidR="00A97450" w:rsidRPr="00A97450" w:rsidRDefault="00A97450" w:rsidP="00A97450">
            <w:pPr>
              <w:jc w:val="left"/>
              <w:rPr>
                <w:rFonts w:ascii="Calibri" w:hAnsi="Calibri" w:cs="Calibri"/>
                <w:sz w:val="20"/>
              </w:rPr>
            </w:pPr>
            <w:r w:rsidRPr="00A97450">
              <w:rPr>
                <w:rFonts w:ascii="Calibri" w:hAnsi="Calibri" w:cs="Calibri"/>
                <w:sz w:val="20"/>
              </w:rPr>
              <w:t>Charge à payer</w:t>
            </w:r>
          </w:p>
        </w:tc>
      </w:tr>
      <w:tr w:rsidR="00A97450" w:rsidRPr="00A97450" w14:paraId="7E744B67" w14:textId="77777777" w:rsidTr="00A97450">
        <w:tc>
          <w:tcPr>
            <w:tcW w:w="0" w:type="auto"/>
            <w:hideMark/>
          </w:tcPr>
          <w:p w14:paraId="3FBE7F26" w14:textId="77777777" w:rsidR="00A97450" w:rsidRPr="00A97450" w:rsidRDefault="00A97450" w:rsidP="00A97450">
            <w:pPr>
              <w:jc w:val="left"/>
              <w:rPr>
                <w:rFonts w:ascii="Calibri" w:hAnsi="Calibri" w:cs="Calibri"/>
                <w:sz w:val="20"/>
              </w:rPr>
            </w:pPr>
            <w:r w:rsidRPr="00A97450">
              <w:rPr>
                <w:rFonts w:ascii="Calibri" w:hAnsi="Calibri" w:cs="Calibri"/>
                <w:b/>
                <w:bCs/>
                <w:sz w:val="20"/>
              </w:rPr>
              <w:t>Coût historique</w:t>
            </w:r>
          </w:p>
        </w:tc>
        <w:tc>
          <w:tcPr>
            <w:tcW w:w="0" w:type="auto"/>
            <w:hideMark/>
          </w:tcPr>
          <w:p w14:paraId="0A20A92D" w14:textId="77777777" w:rsidR="00A97450" w:rsidRPr="00A97450" w:rsidRDefault="00A97450" w:rsidP="00A97450">
            <w:pPr>
              <w:jc w:val="left"/>
              <w:rPr>
                <w:rFonts w:ascii="Calibri" w:hAnsi="Calibri" w:cs="Calibri"/>
                <w:sz w:val="20"/>
              </w:rPr>
            </w:pPr>
            <w:r w:rsidRPr="00A97450">
              <w:rPr>
                <w:rFonts w:ascii="Calibri" w:hAnsi="Calibri" w:cs="Calibri"/>
                <w:sz w:val="20"/>
              </w:rPr>
              <w:t>Retenir initialement le coût d’entrée</w:t>
            </w:r>
          </w:p>
        </w:tc>
        <w:tc>
          <w:tcPr>
            <w:tcW w:w="0" w:type="auto"/>
            <w:hideMark/>
          </w:tcPr>
          <w:p w14:paraId="2206EB0E" w14:textId="77777777" w:rsidR="00A97450" w:rsidRPr="00A97450" w:rsidRDefault="00A97450" w:rsidP="00A97450">
            <w:pPr>
              <w:jc w:val="left"/>
              <w:rPr>
                <w:rFonts w:ascii="Calibri" w:hAnsi="Calibri" w:cs="Calibri"/>
                <w:sz w:val="20"/>
              </w:rPr>
            </w:pPr>
            <w:r w:rsidRPr="00A97450">
              <w:rPr>
                <w:rFonts w:ascii="Calibri" w:hAnsi="Calibri" w:cs="Calibri"/>
                <w:sz w:val="20"/>
              </w:rPr>
              <w:t>Immobilisation au coût d’acquisition</w:t>
            </w:r>
          </w:p>
        </w:tc>
      </w:tr>
      <w:tr w:rsidR="00A97450" w:rsidRPr="00A97450" w14:paraId="43FEC4F9" w14:textId="77777777" w:rsidTr="00A97450">
        <w:tc>
          <w:tcPr>
            <w:tcW w:w="0" w:type="auto"/>
            <w:hideMark/>
          </w:tcPr>
          <w:p w14:paraId="4E7DAE05" w14:textId="77777777" w:rsidR="00A97450" w:rsidRPr="00A97450" w:rsidRDefault="00A97450" w:rsidP="00A97450">
            <w:pPr>
              <w:jc w:val="left"/>
              <w:rPr>
                <w:rFonts w:ascii="Calibri" w:hAnsi="Calibri" w:cs="Calibri"/>
                <w:sz w:val="20"/>
              </w:rPr>
            </w:pPr>
            <w:r w:rsidRPr="00A97450">
              <w:rPr>
                <w:rFonts w:ascii="Calibri" w:hAnsi="Calibri" w:cs="Calibri"/>
                <w:b/>
                <w:bCs/>
                <w:sz w:val="20"/>
              </w:rPr>
              <w:t>Intangibilité du bilan d’ouverture</w:t>
            </w:r>
          </w:p>
        </w:tc>
        <w:tc>
          <w:tcPr>
            <w:tcW w:w="0" w:type="auto"/>
            <w:hideMark/>
          </w:tcPr>
          <w:p w14:paraId="4689DC8B" w14:textId="77777777" w:rsidR="00A97450" w:rsidRPr="00A97450" w:rsidRDefault="00A97450" w:rsidP="00A97450">
            <w:pPr>
              <w:jc w:val="left"/>
              <w:rPr>
                <w:rFonts w:ascii="Calibri" w:hAnsi="Calibri" w:cs="Calibri"/>
                <w:sz w:val="20"/>
              </w:rPr>
            </w:pPr>
            <w:r w:rsidRPr="00A97450">
              <w:rPr>
                <w:rFonts w:ascii="Calibri" w:hAnsi="Calibri" w:cs="Calibri"/>
                <w:sz w:val="20"/>
              </w:rPr>
              <w:t>Faire correspondre ouverture N+1 et clôture N</w:t>
            </w:r>
          </w:p>
        </w:tc>
        <w:tc>
          <w:tcPr>
            <w:tcW w:w="0" w:type="auto"/>
            <w:hideMark/>
          </w:tcPr>
          <w:p w14:paraId="31DE9B76" w14:textId="77777777" w:rsidR="00A97450" w:rsidRPr="00A97450" w:rsidRDefault="00A97450" w:rsidP="00A97450">
            <w:pPr>
              <w:jc w:val="left"/>
              <w:rPr>
                <w:rFonts w:ascii="Calibri" w:hAnsi="Calibri" w:cs="Calibri"/>
                <w:sz w:val="20"/>
              </w:rPr>
            </w:pPr>
            <w:r w:rsidRPr="00A97450">
              <w:rPr>
                <w:rFonts w:ascii="Calibri" w:hAnsi="Calibri" w:cs="Calibri"/>
                <w:sz w:val="20"/>
              </w:rPr>
              <w:t>Reprise des soldes</w:t>
            </w:r>
          </w:p>
        </w:tc>
      </w:tr>
      <w:tr w:rsidR="00A97450" w:rsidRPr="00A97450" w14:paraId="7C39EA37" w14:textId="77777777" w:rsidTr="00A97450">
        <w:tc>
          <w:tcPr>
            <w:tcW w:w="0" w:type="auto"/>
            <w:hideMark/>
          </w:tcPr>
          <w:p w14:paraId="1FD76CC2" w14:textId="77777777" w:rsidR="00A97450" w:rsidRPr="00A97450" w:rsidRDefault="00A97450" w:rsidP="00A97450">
            <w:pPr>
              <w:jc w:val="left"/>
              <w:rPr>
                <w:rFonts w:ascii="Calibri" w:hAnsi="Calibri" w:cs="Calibri"/>
                <w:sz w:val="20"/>
              </w:rPr>
            </w:pPr>
            <w:r w:rsidRPr="00A97450">
              <w:rPr>
                <w:rFonts w:ascii="Calibri" w:hAnsi="Calibri" w:cs="Calibri"/>
                <w:b/>
                <w:bCs/>
                <w:sz w:val="20"/>
              </w:rPr>
              <w:t>Non-compensation</w:t>
            </w:r>
          </w:p>
        </w:tc>
        <w:tc>
          <w:tcPr>
            <w:tcW w:w="0" w:type="auto"/>
            <w:hideMark/>
          </w:tcPr>
          <w:p w14:paraId="26742253" w14:textId="77777777" w:rsidR="00A97450" w:rsidRPr="00A97450" w:rsidRDefault="00A97450" w:rsidP="00A97450">
            <w:pPr>
              <w:jc w:val="left"/>
              <w:rPr>
                <w:rFonts w:ascii="Calibri" w:hAnsi="Calibri" w:cs="Calibri"/>
                <w:sz w:val="20"/>
              </w:rPr>
            </w:pPr>
            <w:r w:rsidRPr="00A97450">
              <w:rPr>
                <w:rFonts w:ascii="Calibri" w:hAnsi="Calibri" w:cs="Calibri"/>
                <w:sz w:val="20"/>
              </w:rPr>
              <w:t>Présenter séparément les éléments</w:t>
            </w:r>
          </w:p>
        </w:tc>
        <w:tc>
          <w:tcPr>
            <w:tcW w:w="0" w:type="auto"/>
            <w:hideMark/>
          </w:tcPr>
          <w:p w14:paraId="50558771" w14:textId="77777777" w:rsidR="00A97450" w:rsidRPr="00A97450" w:rsidRDefault="00A97450" w:rsidP="00A97450">
            <w:pPr>
              <w:jc w:val="left"/>
              <w:rPr>
                <w:rFonts w:ascii="Calibri" w:hAnsi="Calibri" w:cs="Calibri"/>
                <w:sz w:val="20"/>
              </w:rPr>
            </w:pPr>
            <w:r w:rsidRPr="00A97450">
              <w:rPr>
                <w:rFonts w:ascii="Calibri" w:hAnsi="Calibri" w:cs="Calibri"/>
                <w:sz w:val="20"/>
              </w:rPr>
              <w:t>Créance et dette distinctes</w:t>
            </w:r>
          </w:p>
        </w:tc>
      </w:tr>
      <w:tr w:rsidR="00A97450" w:rsidRPr="00A97450" w14:paraId="5585BBF3" w14:textId="77777777" w:rsidTr="00A97450">
        <w:tc>
          <w:tcPr>
            <w:tcW w:w="0" w:type="auto"/>
            <w:hideMark/>
          </w:tcPr>
          <w:p w14:paraId="54DB3CF6" w14:textId="77777777" w:rsidR="00A97450" w:rsidRPr="00A97450" w:rsidRDefault="00A97450" w:rsidP="00A97450">
            <w:pPr>
              <w:jc w:val="left"/>
              <w:rPr>
                <w:rFonts w:ascii="Calibri" w:hAnsi="Calibri" w:cs="Calibri"/>
                <w:sz w:val="20"/>
              </w:rPr>
            </w:pPr>
            <w:r w:rsidRPr="00A97450">
              <w:rPr>
                <w:rFonts w:ascii="Calibri" w:hAnsi="Calibri" w:cs="Calibri"/>
                <w:b/>
                <w:bCs/>
                <w:sz w:val="20"/>
              </w:rPr>
              <w:t>Importance relative</w:t>
            </w:r>
          </w:p>
        </w:tc>
        <w:tc>
          <w:tcPr>
            <w:tcW w:w="0" w:type="auto"/>
            <w:hideMark/>
          </w:tcPr>
          <w:p w14:paraId="79BE824E" w14:textId="77777777" w:rsidR="00A97450" w:rsidRPr="00A97450" w:rsidRDefault="00A97450" w:rsidP="00A97450">
            <w:pPr>
              <w:jc w:val="left"/>
              <w:rPr>
                <w:rFonts w:ascii="Calibri" w:hAnsi="Calibri" w:cs="Calibri"/>
                <w:sz w:val="20"/>
              </w:rPr>
            </w:pPr>
            <w:r w:rsidRPr="00A97450">
              <w:rPr>
                <w:rFonts w:ascii="Calibri" w:hAnsi="Calibri" w:cs="Calibri"/>
                <w:sz w:val="20"/>
              </w:rPr>
              <w:t>Fournir l’information significative</w:t>
            </w:r>
          </w:p>
        </w:tc>
        <w:tc>
          <w:tcPr>
            <w:tcW w:w="0" w:type="auto"/>
            <w:hideMark/>
          </w:tcPr>
          <w:p w14:paraId="1C99DB7B" w14:textId="77777777" w:rsidR="00A97450" w:rsidRPr="00A97450" w:rsidRDefault="00A97450" w:rsidP="00A97450">
            <w:pPr>
              <w:jc w:val="left"/>
              <w:rPr>
                <w:rFonts w:ascii="Calibri" w:hAnsi="Calibri" w:cs="Calibri"/>
                <w:sz w:val="20"/>
              </w:rPr>
            </w:pPr>
            <w:r w:rsidRPr="00A97450">
              <w:rPr>
                <w:rFonts w:ascii="Calibri" w:hAnsi="Calibri" w:cs="Calibri"/>
                <w:sz w:val="20"/>
              </w:rPr>
              <w:t>Information importante en annexe</w:t>
            </w:r>
          </w:p>
        </w:tc>
      </w:tr>
    </w:tbl>
    <w:p w14:paraId="068830F3" w14:textId="77777777" w:rsidR="00A97450" w:rsidRPr="00A97450" w:rsidRDefault="00A97450" w:rsidP="00A97450">
      <w:pPr>
        <w:spacing w:after="0" w:line="240" w:lineRule="auto"/>
      </w:pPr>
      <w:r w:rsidRPr="00A97450">
        <w:t>Le référentiel impose précisément la maîtrise de cet ensemble.</w:t>
      </w:r>
    </w:p>
    <w:p w14:paraId="31CA7B52" w14:textId="77777777" w:rsidR="00A97450" w:rsidRPr="00A97450" w:rsidRDefault="00A97450" w:rsidP="00A97450">
      <w:pPr>
        <w:spacing w:after="0" w:line="240" w:lineRule="auto"/>
      </w:pPr>
      <w:r w:rsidRPr="00A97450">
        <w:pict w14:anchorId="063B5B56">
          <v:rect id="_x0000_i3318" style="width:0;height:1.5pt" o:hralign="center" o:hrstd="t" o:hr="t" fillcolor="#a0a0a0" stroked="f"/>
        </w:pict>
      </w:r>
    </w:p>
    <w:p w14:paraId="3FE9D69A" w14:textId="77777777" w:rsidR="00A97450" w:rsidRPr="00A97450" w:rsidRDefault="00A97450" w:rsidP="00A97450">
      <w:pPr>
        <w:pStyle w:val="Titre1"/>
      </w:pPr>
      <w:r w:rsidRPr="00A97450">
        <w:t>21. La normalisation comptable internationale</w:t>
      </w:r>
    </w:p>
    <w:p w14:paraId="08DA954F" w14:textId="77777777" w:rsidR="00A97450" w:rsidRPr="00A97450" w:rsidRDefault="00A97450" w:rsidP="00A97450">
      <w:pPr>
        <w:spacing w:after="0" w:line="240" w:lineRule="auto"/>
        <w:rPr>
          <w:b/>
          <w:bCs/>
        </w:rPr>
      </w:pPr>
      <w:r w:rsidRPr="00A97450">
        <w:rPr>
          <w:b/>
          <w:bCs/>
        </w:rPr>
        <w:t>21.1 L’IFRS Foundation</w:t>
      </w:r>
    </w:p>
    <w:p w14:paraId="449EB67D" w14:textId="77777777" w:rsidR="00A97450" w:rsidRPr="00A97450" w:rsidRDefault="00A97450" w:rsidP="00A97450">
      <w:pPr>
        <w:spacing w:after="0" w:line="240" w:lineRule="auto"/>
      </w:pPr>
      <w:r w:rsidRPr="00A97450">
        <w:t>L’</w:t>
      </w:r>
      <w:r w:rsidRPr="00A97450">
        <w:rPr>
          <w:b/>
          <w:bCs/>
        </w:rPr>
        <w:t>IFRS Foundation</w:t>
      </w:r>
      <w:r w:rsidRPr="00A97450">
        <w:t xml:space="preserve"> est l’organisation internationale au sein de laquelle sont élaborées les normes IFRS.</w:t>
      </w:r>
    </w:p>
    <w:p w14:paraId="17CBBB7E" w14:textId="4ED46DDB" w:rsidR="00A97450" w:rsidRPr="00A97450" w:rsidRDefault="00A97450" w:rsidP="00A97450">
      <w:pPr>
        <w:spacing w:after="0" w:line="240" w:lineRule="auto"/>
      </w:pPr>
      <w:r w:rsidRPr="00A97450">
        <w:t>Elle comprend notamment deux normalisateurs distincts</w:t>
      </w:r>
      <w:r>
        <w:t> :</w:t>
      </w:r>
    </w:p>
    <w:p w14:paraId="7DE4A1B1" w14:textId="538E299A" w:rsidR="00A97450" w:rsidRPr="00A97450" w:rsidRDefault="00A97450">
      <w:pPr>
        <w:numPr>
          <w:ilvl w:val="0"/>
          <w:numId w:val="26"/>
        </w:numPr>
        <w:spacing w:after="0" w:line="240" w:lineRule="auto"/>
      </w:pPr>
      <w:r w:rsidRPr="00A97450">
        <w:t>l’</w:t>
      </w:r>
      <w:r w:rsidRPr="00A97450">
        <w:rPr>
          <w:b/>
          <w:bCs/>
        </w:rPr>
        <w:t>IASB (International Accounting Standards Board)</w:t>
      </w:r>
      <w:r w:rsidRPr="00A97450">
        <w:t xml:space="preserve"> pour l’information financière</w:t>
      </w:r>
      <w:r>
        <w:t> ;</w:t>
      </w:r>
    </w:p>
    <w:p w14:paraId="471C0A19" w14:textId="77777777" w:rsidR="00A97450" w:rsidRPr="00A97450" w:rsidRDefault="00A97450">
      <w:pPr>
        <w:numPr>
          <w:ilvl w:val="0"/>
          <w:numId w:val="26"/>
        </w:numPr>
        <w:spacing w:after="0" w:line="240" w:lineRule="auto"/>
      </w:pPr>
      <w:r w:rsidRPr="00A97450">
        <w:t>l’</w:t>
      </w:r>
      <w:r w:rsidRPr="00A97450">
        <w:rPr>
          <w:b/>
          <w:bCs/>
        </w:rPr>
        <w:t>ISSB (International Sustainability Standards Board)</w:t>
      </w:r>
      <w:r w:rsidRPr="00A97450">
        <w:t xml:space="preserve"> pour les informations de durabilité.</w:t>
      </w:r>
    </w:p>
    <w:p w14:paraId="19BC323B" w14:textId="77777777" w:rsidR="00A97450" w:rsidRPr="00A97450" w:rsidRDefault="00A97450" w:rsidP="00A97450">
      <w:pPr>
        <w:spacing w:after="0" w:line="240" w:lineRule="auto"/>
      </w:pPr>
      <w:r w:rsidRPr="00A97450">
        <w:t>Dans cette fiche de comptabilité financière, c’est essentiellement l’IASB qui nous intéresse.</w:t>
      </w:r>
    </w:p>
    <w:p w14:paraId="63DFD068" w14:textId="77777777" w:rsidR="00A97450" w:rsidRPr="00A97450" w:rsidRDefault="00A97450" w:rsidP="00A97450">
      <w:pPr>
        <w:spacing w:after="0" w:line="240" w:lineRule="auto"/>
        <w:rPr>
          <w:b/>
          <w:bCs/>
        </w:rPr>
      </w:pPr>
      <w:r w:rsidRPr="00A97450">
        <w:rPr>
          <w:b/>
          <w:bCs/>
        </w:rPr>
        <w:t>21.2 L’IASB</w:t>
      </w:r>
    </w:p>
    <w:p w14:paraId="1C4B10DB" w14:textId="77777777" w:rsidR="00A97450" w:rsidRPr="00A97450" w:rsidRDefault="00A97450" w:rsidP="00A97450">
      <w:pPr>
        <w:spacing w:after="0" w:line="240" w:lineRule="auto"/>
      </w:pPr>
      <w:r w:rsidRPr="00A97450">
        <w:t>L’</w:t>
      </w:r>
      <w:r w:rsidRPr="00A97450">
        <w:rPr>
          <w:b/>
          <w:bCs/>
        </w:rPr>
        <w:t>IASB (International Accounting Standards Board)</w:t>
      </w:r>
      <w:r w:rsidRPr="00A97450">
        <w:t xml:space="preserve">, ou </w:t>
      </w:r>
      <w:r w:rsidRPr="00A97450">
        <w:rPr>
          <w:b/>
          <w:bCs/>
        </w:rPr>
        <w:t>Conseil des normes comptables internationales</w:t>
      </w:r>
      <w:r w:rsidRPr="00A97450">
        <w:t xml:space="preserve">, élabore et publie les </w:t>
      </w:r>
      <w:r w:rsidRPr="00A97450">
        <w:rPr>
          <w:b/>
          <w:bCs/>
        </w:rPr>
        <w:t>IFRS Accounting Standards</w:t>
      </w:r>
      <w:r w:rsidRPr="00A97450">
        <w:t>.</w:t>
      </w:r>
    </w:p>
    <w:p w14:paraId="06D26AB1" w14:textId="4FFE5BB7" w:rsidR="00A97450" w:rsidRPr="00A97450" w:rsidRDefault="00A97450" w:rsidP="00A97450">
      <w:pPr>
        <w:spacing w:after="0" w:line="240" w:lineRule="auto"/>
      </w:pPr>
      <w:r w:rsidRPr="00A97450">
        <w:t>Ses objectifs sont notamment de favoriser une information financière</w:t>
      </w:r>
      <w:r>
        <w:t> :</w:t>
      </w:r>
    </w:p>
    <w:p w14:paraId="5153C691" w14:textId="7320D0FD" w:rsidR="00A97450" w:rsidRPr="00A97450" w:rsidRDefault="00A97450">
      <w:pPr>
        <w:numPr>
          <w:ilvl w:val="0"/>
          <w:numId w:val="27"/>
        </w:numPr>
        <w:spacing w:after="0" w:line="240" w:lineRule="auto"/>
      </w:pPr>
      <w:r w:rsidRPr="00A97450">
        <w:t>transparente</w:t>
      </w:r>
      <w:r>
        <w:t> ;</w:t>
      </w:r>
    </w:p>
    <w:p w14:paraId="15F58058" w14:textId="593AE0BB" w:rsidR="00A97450" w:rsidRPr="00A97450" w:rsidRDefault="00A97450">
      <w:pPr>
        <w:numPr>
          <w:ilvl w:val="0"/>
          <w:numId w:val="27"/>
        </w:numPr>
        <w:spacing w:after="0" w:line="240" w:lineRule="auto"/>
      </w:pPr>
      <w:r w:rsidRPr="00A97450">
        <w:t>comparable</w:t>
      </w:r>
      <w:r>
        <w:t> ;</w:t>
      </w:r>
    </w:p>
    <w:p w14:paraId="06497761" w14:textId="77777777" w:rsidR="00A97450" w:rsidRPr="00A97450" w:rsidRDefault="00A97450">
      <w:pPr>
        <w:numPr>
          <w:ilvl w:val="0"/>
          <w:numId w:val="27"/>
        </w:numPr>
        <w:spacing w:after="0" w:line="240" w:lineRule="auto"/>
      </w:pPr>
      <w:r w:rsidRPr="00A97450">
        <w:t>utile aux utilisateurs des états financiers.</w:t>
      </w:r>
    </w:p>
    <w:p w14:paraId="4B757BAF" w14:textId="77777777" w:rsidR="00A97450" w:rsidRPr="00A97450" w:rsidRDefault="00A97450" w:rsidP="00A97450">
      <w:pPr>
        <w:spacing w:after="0" w:line="240" w:lineRule="auto"/>
        <w:rPr>
          <w:b/>
          <w:bCs/>
        </w:rPr>
      </w:pPr>
      <w:r w:rsidRPr="00A97450">
        <w:rPr>
          <w:b/>
          <w:bCs/>
        </w:rPr>
        <w:t>21.3 IAS et IFRS</w:t>
      </w:r>
    </w:p>
    <w:p w14:paraId="7516D24C" w14:textId="77777777" w:rsidR="00A97450" w:rsidRPr="00A97450" w:rsidRDefault="00A97450" w:rsidP="00A97450">
      <w:pPr>
        <w:spacing w:after="0" w:line="240" w:lineRule="auto"/>
      </w:pPr>
      <w:r w:rsidRPr="00A97450">
        <w:t>Il existe deux appellations historiques.</w:t>
      </w:r>
    </w:p>
    <w:p w14:paraId="078E92C4" w14:textId="77777777" w:rsidR="00A97450" w:rsidRPr="00A97450" w:rsidRDefault="00A97450" w:rsidP="00A97450">
      <w:pPr>
        <w:spacing w:after="0" w:line="240" w:lineRule="auto"/>
        <w:rPr>
          <w:b/>
          <w:bCs/>
        </w:rPr>
      </w:pPr>
      <w:r w:rsidRPr="00A97450">
        <w:rPr>
          <w:b/>
          <w:bCs/>
        </w:rPr>
        <w:t>IAS</w:t>
      </w:r>
    </w:p>
    <w:p w14:paraId="03A12513" w14:textId="0DE17D50" w:rsidR="00A97450" w:rsidRPr="00A97450" w:rsidRDefault="00A97450" w:rsidP="00A97450">
      <w:pPr>
        <w:spacing w:after="0" w:line="240" w:lineRule="auto"/>
      </w:pPr>
      <w:r w:rsidRPr="00A97450">
        <w:rPr>
          <w:b/>
          <w:bCs/>
        </w:rPr>
        <w:lastRenderedPageBreak/>
        <w:t>IAS = International Accounting Standards</w:t>
      </w:r>
      <w:r w:rsidRPr="00A97450">
        <w:t xml:space="preserve">, soit </w:t>
      </w:r>
      <w:r>
        <w:t>« </w:t>
      </w:r>
      <w:r w:rsidRPr="00A97450">
        <w:t>normes comptables internationales</w:t>
      </w:r>
      <w:r>
        <w:t> »</w:t>
      </w:r>
      <w:r w:rsidRPr="00A97450">
        <w:t>.</w:t>
      </w:r>
    </w:p>
    <w:p w14:paraId="58180266" w14:textId="77777777" w:rsidR="00A97450" w:rsidRPr="00A97450" w:rsidRDefault="00A97450" w:rsidP="00A97450">
      <w:pPr>
        <w:spacing w:after="0" w:line="240" w:lineRule="auto"/>
      </w:pPr>
      <w:r w:rsidRPr="00A97450">
        <w:t>Elles ont été élaborées avant la création de l’IASB actuel.</w:t>
      </w:r>
    </w:p>
    <w:p w14:paraId="2C20DB3F" w14:textId="77777777" w:rsidR="00A97450" w:rsidRPr="00A97450" w:rsidRDefault="00A97450" w:rsidP="00A97450">
      <w:pPr>
        <w:spacing w:after="0" w:line="240" w:lineRule="auto"/>
      </w:pPr>
      <w:r w:rsidRPr="00A97450">
        <w:t>Certaines IAS restent applicables lorsqu’elles n’ont pas été remplacées.</w:t>
      </w:r>
    </w:p>
    <w:p w14:paraId="0387D1B6" w14:textId="77777777" w:rsidR="00A97450" w:rsidRPr="00A97450" w:rsidRDefault="00A97450" w:rsidP="00A97450">
      <w:pPr>
        <w:spacing w:after="0" w:line="240" w:lineRule="auto"/>
        <w:rPr>
          <w:b/>
          <w:bCs/>
        </w:rPr>
      </w:pPr>
      <w:r w:rsidRPr="00A97450">
        <w:rPr>
          <w:b/>
          <w:bCs/>
        </w:rPr>
        <w:t>IFRS</w:t>
      </w:r>
    </w:p>
    <w:p w14:paraId="0C84F415" w14:textId="42875289" w:rsidR="00A97450" w:rsidRPr="00A97450" w:rsidRDefault="00A97450" w:rsidP="00A97450">
      <w:pPr>
        <w:spacing w:after="0" w:line="240" w:lineRule="auto"/>
      </w:pPr>
      <w:r w:rsidRPr="00A97450">
        <w:rPr>
          <w:b/>
          <w:bCs/>
        </w:rPr>
        <w:t>IFRS = International Financial Reporting Standards</w:t>
      </w:r>
      <w:r w:rsidRPr="00A97450">
        <w:t xml:space="preserve">, soit </w:t>
      </w:r>
      <w:r>
        <w:t>« </w:t>
      </w:r>
      <w:r w:rsidRPr="00A97450">
        <w:t>normes internationales d’information financière</w:t>
      </w:r>
      <w:r>
        <w:t> »</w:t>
      </w:r>
      <w:r w:rsidRPr="00A97450">
        <w:t>.</w:t>
      </w:r>
    </w:p>
    <w:p w14:paraId="63948F9C" w14:textId="77777777" w:rsidR="00A97450" w:rsidRPr="00A97450" w:rsidRDefault="00A97450" w:rsidP="00A97450">
      <w:pPr>
        <w:spacing w:after="0" w:line="240" w:lineRule="auto"/>
      </w:pPr>
      <w:r w:rsidRPr="00A97450">
        <w:t>Il s’agit des normes publiées par l’IASB.</w:t>
      </w:r>
    </w:p>
    <w:p w14:paraId="55564689" w14:textId="77777777" w:rsidR="00A97450" w:rsidRPr="00A97450" w:rsidRDefault="00A97450" w:rsidP="00A97450">
      <w:pPr>
        <w:spacing w:after="0" w:line="240" w:lineRule="auto"/>
      </w:pPr>
      <w:r w:rsidRPr="00A97450">
        <w:t xml:space="preserve">L’ensemble est aujourd’hui couramment désigné sous le terme générique </w:t>
      </w:r>
      <w:r w:rsidRPr="00A97450">
        <w:rPr>
          <w:b/>
          <w:bCs/>
        </w:rPr>
        <w:t>IFRS Accounting Standards</w:t>
      </w:r>
      <w:r w:rsidRPr="00A97450">
        <w:t>.</w:t>
      </w:r>
    </w:p>
    <w:p w14:paraId="69DCE111" w14:textId="77777777" w:rsidR="00A97450" w:rsidRPr="00A97450" w:rsidRDefault="00A97450" w:rsidP="00A97450">
      <w:pPr>
        <w:spacing w:after="0" w:line="240" w:lineRule="auto"/>
        <w:rPr>
          <w:b/>
          <w:bCs/>
        </w:rPr>
      </w:pPr>
      <w:r w:rsidRPr="00A97450">
        <w:rPr>
          <w:b/>
          <w:bCs/>
        </w:rPr>
        <w:t>Il ne faut donc pas apprendre une liste gigantesque</w:t>
      </w:r>
    </w:p>
    <w:p w14:paraId="59B32736" w14:textId="71254F65" w:rsidR="00A97450" w:rsidRPr="00A97450" w:rsidRDefault="00A97450" w:rsidP="00A97450">
      <w:pPr>
        <w:spacing w:after="0" w:line="240" w:lineRule="auto"/>
      </w:pPr>
      <w:r w:rsidRPr="00A97450">
        <w:t>Il faut surtout comprendre la structure</w:t>
      </w:r>
      <w:r>
        <w:t> :</w:t>
      </w:r>
    </w:p>
    <w:p w14:paraId="48F41AE2" w14:textId="77777777" w:rsidR="00A97450" w:rsidRPr="00A97450" w:rsidRDefault="00A97450" w:rsidP="00A97450">
      <w:pPr>
        <w:spacing w:after="0" w:line="240" w:lineRule="auto"/>
      </w:pPr>
      <w:r w:rsidRPr="00A97450">
        <w:rPr>
          <w:b/>
          <w:bCs/>
        </w:rPr>
        <w:t>IFRS Accounting Standards</w:t>
      </w:r>
    </w:p>
    <w:p w14:paraId="0596B718" w14:textId="77777777" w:rsidR="00A97450" w:rsidRDefault="00A97450" w:rsidP="00A97450">
      <w:pPr>
        <w:spacing w:after="0" w:line="240" w:lineRule="auto"/>
      </w:pPr>
      <w:r w:rsidRPr="00A97450">
        <w:t>→ IAS encore applicables</w:t>
      </w:r>
    </w:p>
    <w:p w14:paraId="0EFA60D8" w14:textId="77777777" w:rsidR="00A97450" w:rsidRDefault="00A97450" w:rsidP="00A97450">
      <w:pPr>
        <w:spacing w:after="0" w:line="240" w:lineRule="auto"/>
      </w:pPr>
      <w:r w:rsidRPr="00A97450">
        <w:t>→ IFRS</w:t>
      </w:r>
    </w:p>
    <w:p w14:paraId="68D33F55" w14:textId="77777777" w:rsidR="00A97450" w:rsidRDefault="00A97450" w:rsidP="00A97450">
      <w:pPr>
        <w:spacing w:after="0" w:line="240" w:lineRule="auto"/>
      </w:pPr>
      <w:r w:rsidRPr="00A97450">
        <w:t>→ interprétations SIC encore applicables</w:t>
      </w:r>
    </w:p>
    <w:p w14:paraId="57B828E4" w14:textId="36620128" w:rsidR="00A97450" w:rsidRPr="00A97450" w:rsidRDefault="00A97450" w:rsidP="00A97450">
      <w:pPr>
        <w:spacing w:after="0" w:line="240" w:lineRule="auto"/>
      </w:pPr>
      <w:r w:rsidRPr="00A97450">
        <w:t>→ interprétations IFRIC / IFRS Interpretations Committee.</w:t>
      </w:r>
    </w:p>
    <w:p w14:paraId="4F059608" w14:textId="77777777" w:rsidR="00A97450" w:rsidRPr="00A97450" w:rsidRDefault="00A97450" w:rsidP="00A97450">
      <w:pPr>
        <w:spacing w:after="0" w:line="240" w:lineRule="auto"/>
      </w:pPr>
      <w:r w:rsidRPr="00A97450">
        <w:pict w14:anchorId="2E2BB382">
          <v:rect id="_x0000_i3319" style="width:0;height:1.5pt" o:hralign="center" o:hrstd="t" o:hr="t" fillcolor="#a0a0a0" stroked="f"/>
        </w:pict>
      </w:r>
    </w:p>
    <w:p w14:paraId="24599DA1" w14:textId="77777777" w:rsidR="00A97450" w:rsidRPr="00A97450" w:rsidRDefault="00A97450" w:rsidP="00A97450">
      <w:pPr>
        <w:pStyle w:val="Titre1"/>
      </w:pPr>
      <w:r w:rsidRPr="00A97450">
        <w:t>22. SIC, IFRIC et IFRS Interpretations Committee</w:t>
      </w:r>
    </w:p>
    <w:p w14:paraId="1D00F279" w14:textId="77777777" w:rsidR="00A97450" w:rsidRPr="00A97450" w:rsidRDefault="00A97450" w:rsidP="00A97450">
      <w:pPr>
        <w:spacing w:after="0" w:line="240" w:lineRule="auto"/>
      </w:pPr>
      <w:r w:rsidRPr="00A97450">
        <w:t>Les normes ne peuvent pas prévoir immédiatement toutes les difficultés pratiques.</w:t>
      </w:r>
    </w:p>
    <w:p w14:paraId="4862BC49" w14:textId="74E07AA0" w:rsidR="00A97450" w:rsidRPr="00A97450" w:rsidRDefault="00A97450" w:rsidP="00A97450">
      <w:pPr>
        <w:spacing w:after="0" w:line="240" w:lineRule="auto"/>
      </w:pPr>
      <w:r w:rsidRPr="00A97450">
        <w:t>Un organisme d’interprétation existe donc</w:t>
      </w:r>
      <w:r>
        <w:t> :</w:t>
      </w:r>
      <w:r w:rsidRPr="00A97450">
        <w:t xml:space="preserve"> l’</w:t>
      </w:r>
      <w:r w:rsidRPr="00A97450">
        <w:rPr>
          <w:b/>
          <w:bCs/>
        </w:rPr>
        <w:t>IFRS Interpretations Committee</w:t>
      </w:r>
      <w:r w:rsidRPr="00A97450">
        <w:t>.</w:t>
      </w:r>
    </w:p>
    <w:p w14:paraId="0EDE1C6E" w14:textId="35044F12" w:rsidR="00A97450" w:rsidRPr="00A97450" w:rsidRDefault="00A97450" w:rsidP="00A97450">
      <w:pPr>
        <w:spacing w:after="0" w:line="240" w:lineRule="auto"/>
      </w:pPr>
      <w:r w:rsidRPr="00A97450">
        <w:t>Il élabore les interprétations soumises à l’approbation de l’IASB. L’actuel comité a succédé à l’ancien IFRIC</w:t>
      </w:r>
      <w:r>
        <w:t> ;</w:t>
      </w:r>
      <w:r w:rsidRPr="00A97450">
        <w:t xml:space="preserve"> certaines anciennes interprétations SIC restent également dans le corpus lorsqu’elles sont encore applicables.</w:t>
      </w:r>
    </w:p>
    <w:p w14:paraId="79F56E9D" w14:textId="77777777" w:rsidR="00A97450" w:rsidRPr="00A97450" w:rsidRDefault="00A97450" w:rsidP="00A97450">
      <w:pPr>
        <w:spacing w:after="0" w:line="240" w:lineRule="auto"/>
        <w:rPr>
          <w:b/>
          <w:bCs/>
        </w:rPr>
      </w:pPr>
      <w:r w:rsidRPr="00A97450">
        <w:rPr>
          <w:b/>
          <w:bCs/>
        </w:rPr>
        <w:t>Rôle</w:t>
      </w:r>
    </w:p>
    <w:p w14:paraId="57A18840" w14:textId="7D5B2820" w:rsidR="00A97450" w:rsidRPr="00A97450" w:rsidRDefault="00A97450">
      <w:pPr>
        <w:numPr>
          <w:ilvl w:val="0"/>
          <w:numId w:val="28"/>
        </w:numPr>
        <w:spacing w:after="0" w:line="240" w:lineRule="auto"/>
      </w:pPr>
      <w:r w:rsidRPr="00A97450">
        <w:t>traiter certaines difficultés d’application</w:t>
      </w:r>
      <w:r>
        <w:t> ;</w:t>
      </w:r>
    </w:p>
    <w:p w14:paraId="6AF4EBF8" w14:textId="22DA8C04" w:rsidR="00A97450" w:rsidRPr="00A97450" w:rsidRDefault="00A97450">
      <w:pPr>
        <w:numPr>
          <w:ilvl w:val="0"/>
          <w:numId w:val="28"/>
        </w:numPr>
        <w:spacing w:after="0" w:line="240" w:lineRule="auto"/>
      </w:pPr>
      <w:r w:rsidRPr="00A97450">
        <w:t>favoriser une application cohérente des normes IFRS</w:t>
      </w:r>
      <w:r>
        <w:t> ;</w:t>
      </w:r>
    </w:p>
    <w:p w14:paraId="510D7870" w14:textId="77777777" w:rsidR="00A97450" w:rsidRPr="00A97450" w:rsidRDefault="00A97450">
      <w:pPr>
        <w:numPr>
          <w:ilvl w:val="0"/>
          <w:numId w:val="28"/>
        </w:numPr>
        <w:spacing w:after="0" w:line="240" w:lineRule="auto"/>
      </w:pPr>
      <w:r w:rsidRPr="00A97450">
        <w:t>limiter les divergences d’interprétation.</w:t>
      </w:r>
    </w:p>
    <w:p w14:paraId="0CD23788" w14:textId="77777777" w:rsidR="00A97450" w:rsidRPr="00A97450" w:rsidRDefault="00A97450" w:rsidP="00A97450">
      <w:pPr>
        <w:spacing w:after="0" w:line="240" w:lineRule="auto"/>
      </w:pPr>
      <w:r w:rsidRPr="00A97450">
        <w:pict w14:anchorId="5D923DB8">
          <v:rect id="_x0000_i3320" style="width:0;height:1.5pt" o:hralign="center" o:hrstd="t" o:hr="t" fillcolor="#a0a0a0" stroked="f"/>
        </w:pict>
      </w:r>
    </w:p>
    <w:p w14:paraId="77A923E3" w14:textId="77777777" w:rsidR="00A97450" w:rsidRPr="00A97450" w:rsidRDefault="00A97450" w:rsidP="00A97450">
      <w:pPr>
        <w:pStyle w:val="Titre1"/>
      </w:pPr>
      <w:r w:rsidRPr="00A97450">
        <w:t>23. L’Union européenne et les IFRS</w:t>
      </w:r>
    </w:p>
    <w:p w14:paraId="2ED2A03F" w14:textId="77777777" w:rsidR="00A97450" w:rsidRPr="00A97450" w:rsidRDefault="00A97450" w:rsidP="00A97450">
      <w:pPr>
        <w:spacing w:after="0" w:line="240" w:lineRule="auto"/>
      </w:pPr>
      <w:r w:rsidRPr="00A97450">
        <w:t>Une norme publiée par l’IASB ne devient pas automatiquement une règle européenne.</w:t>
      </w:r>
    </w:p>
    <w:p w14:paraId="615A5033" w14:textId="47AE99CE" w:rsidR="00A97450" w:rsidRPr="00A97450" w:rsidRDefault="00A97450" w:rsidP="00A97450">
      <w:pPr>
        <w:spacing w:after="0" w:line="240" w:lineRule="auto"/>
      </w:pPr>
      <w:r w:rsidRPr="00A97450">
        <w:t xml:space="preserve">Il existe une </w:t>
      </w:r>
      <w:r w:rsidRPr="00A97450">
        <w:rPr>
          <w:b/>
          <w:bCs/>
        </w:rPr>
        <w:t xml:space="preserve">procédure européenne d’adoption </w:t>
      </w:r>
      <w:r>
        <w:rPr>
          <w:b/>
          <w:bCs/>
        </w:rPr>
        <w:t>-</w:t>
      </w:r>
      <w:r w:rsidRPr="00A97450">
        <w:rPr>
          <w:b/>
          <w:bCs/>
        </w:rPr>
        <w:t xml:space="preserve"> endorsement</w:t>
      </w:r>
      <w:r w:rsidRPr="00A97450">
        <w:t>.</w:t>
      </w:r>
    </w:p>
    <w:p w14:paraId="60C3A106" w14:textId="182EEB5D" w:rsidR="00A97450" w:rsidRPr="00A97450" w:rsidRDefault="00A97450" w:rsidP="00A97450">
      <w:pPr>
        <w:spacing w:after="0" w:line="240" w:lineRule="auto"/>
      </w:pPr>
      <w:r w:rsidRPr="00A97450">
        <w:t>L’EFRAG apporte notamment son expertise technique et conseille la Commission européenne sur l’adoption des normes IFRS</w:t>
      </w:r>
      <w:r>
        <w:t> ;</w:t>
      </w:r>
      <w:r w:rsidRPr="00A97450">
        <w:t xml:space="preserve"> le processus comporte également l’intervention de l’</w:t>
      </w:r>
      <w:r w:rsidRPr="00A97450">
        <w:rPr>
          <w:b/>
          <w:bCs/>
        </w:rPr>
        <w:t>ARC (Accounting Regulatory Committee)</w:t>
      </w:r>
      <w:r w:rsidRPr="00A97450">
        <w:t>.</w:t>
      </w:r>
    </w:p>
    <w:p w14:paraId="4C053D9E" w14:textId="77777777" w:rsidR="00A97450" w:rsidRPr="00A97450" w:rsidRDefault="00A97450" w:rsidP="00A97450">
      <w:pPr>
        <w:spacing w:after="0" w:line="240" w:lineRule="auto"/>
        <w:rPr>
          <w:b/>
          <w:bCs/>
        </w:rPr>
      </w:pPr>
      <w:r w:rsidRPr="00A97450">
        <w:rPr>
          <w:b/>
          <w:bCs/>
        </w:rPr>
        <w:t>Schéma simplifié</w:t>
      </w:r>
    </w:p>
    <w:p w14:paraId="0019B975" w14:textId="77777777" w:rsidR="00A97450" w:rsidRPr="00A97450" w:rsidRDefault="00A97450" w:rsidP="00A97450">
      <w:pPr>
        <w:spacing w:after="0" w:line="240" w:lineRule="auto"/>
      </w:pPr>
      <w:r w:rsidRPr="00A97450">
        <w:rPr>
          <w:b/>
          <w:bCs/>
        </w:rPr>
        <w:t>IASB</w:t>
      </w:r>
    </w:p>
    <w:p w14:paraId="75EC75EC" w14:textId="77777777" w:rsidR="00A97450" w:rsidRPr="00A97450" w:rsidRDefault="00A97450" w:rsidP="00A97450">
      <w:pPr>
        <w:spacing w:after="0" w:line="240" w:lineRule="auto"/>
      </w:pPr>
      <w:r w:rsidRPr="00A97450">
        <w:t>↓ publie une norme IFRS</w:t>
      </w:r>
    </w:p>
    <w:p w14:paraId="0B74D653" w14:textId="77777777" w:rsidR="00A97450" w:rsidRPr="00A97450" w:rsidRDefault="00A97450" w:rsidP="00A97450">
      <w:pPr>
        <w:spacing w:after="0" w:line="240" w:lineRule="auto"/>
      </w:pPr>
      <w:r w:rsidRPr="00A97450">
        <w:rPr>
          <w:b/>
          <w:bCs/>
        </w:rPr>
        <w:t>EFRAG</w:t>
      </w:r>
    </w:p>
    <w:p w14:paraId="1C4EEB85" w14:textId="77777777" w:rsidR="00A97450" w:rsidRPr="00A97450" w:rsidRDefault="00A97450" w:rsidP="00A97450">
      <w:pPr>
        <w:spacing w:after="0" w:line="240" w:lineRule="auto"/>
      </w:pPr>
      <w:r w:rsidRPr="00A97450">
        <w:t>↓ réalise notamment l’analyse technique et formule un avis</w:t>
      </w:r>
    </w:p>
    <w:p w14:paraId="1AAE1E17" w14:textId="77777777" w:rsidR="00A97450" w:rsidRPr="00A97450" w:rsidRDefault="00A97450" w:rsidP="00A97450">
      <w:pPr>
        <w:spacing w:after="0" w:line="240" w:lineRule="auto"/>
      </w:pPr>
      <w:r w:rsidRPr="00A97450">
        <w:rPr>
          <w:b/>
          <w:bCs/>
        </w:rPr>
        <w:t>Union européenne / Commission européenne</w:t>
      </w:r>
    </w:p>
    <w:p w14:paraId="24C52ADA" w14:textId="77777777" w:rsidR="00A97450" w:rsidRPr="00A97450" w:rsidRDefault="00A97450" w:rsidP="00A97450">
      <w:pPr>
        <w:spacing w:after="0" w:line="240" w:lineRule="auto"/>
      </w:pPr>
      <w:r w:rsidRPr="00A97450">
        <w:t>↓ procédure d’adoption</w:t>
      </w:r>
    </w:p>
    <w:p w14:paraId="3B09C683" w14:textId="77777777" w:rsidR="00A97450" w:rsidRPr="00A97450" w:rsidRDefault="00A97450" w:rsidP="00A97450">
      <w:pPr>
        <w:spacing w:after="0" w:line="240" w:lineRule="auto"/>
      </w:pPr>
      <w:r w:rsidRPr="00A97450">
        <w:rPr>
          <w:b/>
          <w:bCs/>
        </w:rPr>
        <w:t>Règlement européen</w:t>
      </w:r>
    </w:p>
    <w:p w14:paraId="011156DA" w14:textId="77777777" w:rsidR="00A97450" w:rsidRPr="00A97450" w:rsidRDefault="00A97450" w:rsidP="00A97450">
      <w:pPr>
        <w:spacing w:after="0" w:line="240" w:lineRule="auto"/>
      </w:pPr>
      <w:r w:rsidRPr="00A97450">
        <w:t>↓ rend la norme adoptée applicable dans le cadre européen.</w:t>
      </w:r>
    </w:p>
    <w:p w14:paraId="113D92B5" w14:textId="77777777" w:rsidR="00A97450" w:rsidRPr="00A97450" w:rsidRDefault="00A97450" w:rsidP="00A97450">
      <w:pPr>
        <w:spacing w:after="0" w:line="240" w:lineRule="auto"/>
        <w:rPr>
          <w:b/>
          <w:bCs/>
        </w:rPr>
      </w:pPr>
      <w:r w:rsidRPr="00A97450">
        <w:rPr>
          <w:b/>
          <w:bCs/>
        </w:rPr>
        <w:t>Conséquence</w:t>
      </w:r>
    </w:p>
    <w:p w14:paraId="0231F55D" w14:textId="75B749B6" w:rsidR="00A97450" w:rsidRPr="00A97450" w:rsidRDefault="00A97450" w:rsidP="00A97450">
      <w:pPr>
        <w:spacing w:after="0" w:line="240" w:lineRule="auto"/>
      </w:pPr>
      <w:r w:rsidRPr="00A97450">
        <w:t>Il faut distinguer</w:t>
      </w:r>
      <w:r>
        <w:t> :</w:t>
      </w:r>
    </w:p>
    <w:p w14:paraId="519E93F7" w14:textId="5C518143" w:rsidR="00A97450" w:rsidRPr="00A97450" w:rsidRDefault="00A97450">
      <w:pPr>
        <w:numPr>
          <w:ilvl w:val="0"/>
          <w:numId w:val="29"/>
        </w:numPr>
        <w:spacing w:after="0" w:line="240" w:lineRule="auto"/>
      </w:pPr>
      <w:r w:rsidRPr="00A97450">
        <w:rPr>
          <w:b/>
          <w:bCs/>
        </w:rPr>
        <w:t>IFRS publiée par l’IASB</w:t>
      </w:r>
      <w:r>
        <w:t> ;</w:t>
      </w:r>
    </w:p>
    <w:p w14:paraId="4B9F3C24" w14:textId="77777777" w:rsidR="00A97450" w:rsidRPr="00A97450" w:rsidRDefault="00A97450">
      <w:pPr>
        <w:numPr>
          <w:ilvl w:val="0"/>
          <w:numId w:val="29"/>
        </w:numPr>
        <w:spacing w:after="0" w:line="240" w:lineRule="auto"/>
      </w:pPr>
      <w:r w:rsidRPr="00A97450">
        <w:rPr>
          <w:b/>
          <w:bCs/>
        </w:rPr>
        <w:t>IFRS adoptée par l’Union européenne</w:t>
      </w:r>
      <w:r w:rsidRPr="00A97450">
        <w:t>.</w:t>
      </w:r>
    </w:p>
    <w:p w14:paraId="36D31C3A" w14:textId="77777777" w:rsidR="00A97450" w:rsidRPr="00A97450" w:rsidRDefault="00A97450" w:rsidP="00A97450">
      <w:pPr>
        <w:spacing w:after="0" w:line="240" w:lineRule="auto"/>
      </w:pPr>
      <w:r w:rsidRPr="00A97450">
        <w:t>Cette distinction est essentielle.</w:t>
      </w:r>
    </w:p>
    <w:p w14:paraId="5BEEAD2B" w14:textId="77777777" w:rsidR="00A97450" w:rsidRPr="00A97450" w:rsidRDefault="00A97450" w:rsidP="00A97450">
      <w:pPr>
        <w:spacing w:after="0" w:line="240" w:lineRule="auto"/>
      </w:pPr>
      <w:r w:rsidRPr="00A97450">
        <w:pict w14:anchorId="4E569E39">
          <v:rect id="_x0000_i3321" style="width:0;height:1.5pt" o:hralign="center" o:hrstd="t" o:hr="t" fillcolor="#a0a0a0" stroked="f"/>
        </w:pict>
      </w:r>
    </w:p>
    <w:p w14:paraId="6E762B20" w14:textId="302BCEC7" w:rsidR="00A97450" w:rsidRPr="00A97450" w:rsidRDefault="00A97450" w:rsidP="00A97450">
      <w:pPr>
        <w:pStyle w:val="Titre1"/>
      </w:pPr>
      <w:r w:rsidRPr="00A97450">
        <w:t>24. Quels référentiels appliquer en France</w:t>
      </w:r>
      <w:r>
        <w:t> ?</w:t>
      </w:r>
    </w:p>
    <w:p w14:paraId="46616907" w14:textId="77777777" w:rsidR="00A97450" w:rsidRPr="00A97450" w:rsidRDefault="00A97450" w:rsidP="00A97450">
      <w:pPr>
        <w:spacing w:after="0" w:line="240" w:lineRule="auto"/>
        <w:rPr>
          <w:b/>
          <w:bCs/>
        </w:rPr>
      </w:pPr>
      <w:r w:rsidRPr="00A97450">
        <w:rPr>
          <w:b/>
          <w:bCs/>
        </w:rPr>
        <w:t>24.1 Comptes individuels</w:t>
      </w:r>
    </w:p>
    <w:p w14:paraId="22071BDE" w14:textId="77777777" w:rsidR="00A97450" w:rsidRPr="00A97450" w:rsidRDefault="00A97450" w:rsidP="00A97450">
      <w:pPr>
        <w:spacing w:after="0" w:line="240" w:lineRule="auto"/>
      </w:pPr>
      <w:r w:rsidRPr="00A97450">
        <w:lastRenderedPageBreak/>
        <w:t xml:space="preserve">Les comptes individuels des entreprises françaises relevant du PCG sont établis conformément au </w:t>
      </w:r>
      <w:r w:rsidRPr="00A97450">
        <w:rPr>
          <w:b/>
          <w:bCs/>
        </w:rPr>
        <w:t>PCG et aux règles françaises applicables</w:t>
      </w:r>
      <w:r w:rsidRPr="00A97450">
        <w:t>. Le PCG 2026 précise son champ d’application aux personnes physiques ou morales soumises à l’obligation légale d’établir des comptes annuels, sous réserve des dispositions spécifiques.</w:t>
      </w:r>
    </w:p>
    <w:p w14:paraId="05C4E3D3" w14:textId="77777777" w:rsidR="00A97450" w:rsidRPr="00A97450" w:rsidRDefault="00A97450" w:rsidP="00A97450">
      <w:pPr>
        <w:spacing w:after="0" w:line="240" w:lineRule="auto"/>
        <w:rPr>
          <w:b/>
          <w:bCs/>
        </w:rPr>
      </w:pPr>
      <w:r w:rsidRPr="00A97450">
        <w:rPr>
          <w:b/>
          <w:bCs/>
        </w:rPr>
        <w:t>24.2 Comptes consolidés des sociétés cotées</w:t>
      </w:r>
    </w:p>
    <w:p w14:paraId="6D64D6C3" w14:textId="77777777" w:rsidR="00A97450" w:rsidRPr="00A97450" w:rsidRDefault="00A97450" w:rsidP="00A97450">
      <w:pPr>
        <w:spacing w:after="0" w:line="240" w:lineRule="auto"/>
      </w:pPr>
      <w:r w:rsidRPr="00A97450">
        <w:t xml:space="preserve">Les sociétés relevant du règlement européen n° 1606/2002 doivent utiliser les </w:t>
      </w:r>
      <w:r w:rsidRPr="00A97450">
        <w:rPr>
          <w:b/>
          <w:bCs/>
        </w:rPr>
        <w:t>IFRS adoptées par l’Union européenne</w:t>
      </w:r>
      <w:r w:rsidRPr="00A97450">
        <w:t xml:space="preserve"> pour les comptes consolidés concernés.</w:t>
      </w:r>
    </w:p>
    <w:p w14:paraId="508FF11F" w14:textId="77777777" w:rsidR="00A97450" w:rsidRPr="00A97450" w:rsidRDefault="00A97450" w:rsidP="00A97450">
      <w:pPr>
        <w:spacing w:after="0" w:line="240" w:lineRule="auto"/>
        <w:rPr>
          <w:b/>
          <w:bCs/>
        </w:rPr>
      </w:pPr>
      <w:r w:rsidRPr="00A97450">
        <w:rPr>
          <w:b/>
          <w:bCs/>
        </w:rPr>
        <w:t>24.3 Autres comptes consolidés</w:t>
      </w:r>
    </w:p>
    <w:p w14:paraId="3D221CE3" w14:textId="77777777" w:rsidR="00A97450" w:rsidRPr="00A97450" w:rsidRDefault="00A97450" w:rsidP="00A97450">
      <w:pPr>
        <w:spacing w:after="0" w:line="240" w:lineRule="auto"/>
      </w:pPr>
      <w:r w:rsidRPr="00A97450">
        <w:t>Le droit français prévoit également la possibilité pour certaines sociétés établissant des comptes consolidés d’utiliser les normes comptables internationales adoptées par règlement de la Commission européenne.</w:t>
      </w:r>
    </w:p>
    <w:p w14:paraId="60BAF626" w14:textId="77777777" w:rsidR="00A97450" w:rsidRPr="00A97450" w:rsidRDefault="00A97450" w:rsidP="00A97450">
      <w:pPr>
        <w:spacing w:after="0" w:line="240" w:lineRule="auto"/>
        <w:rPr>
          <w:b/>
          <w:bCs/>
        </w:rPr>
      </w:pPr>
      <w:r w:rsidRPr="00A97450">
        <w:rPr>
          <w:b/>
          <w:bCs/>
        </w:rPr>
        <w:t>À retenir</w:t>
      </w:r>
    </w:p>
    <w:p w14:paraId="7F81E6CB" w14:textId="77777777" w:rsidR="00A97450" w:rsidRPr="00A97450" w:rsidRDefault="00A97450" w:rsidP="00A97450">
      <w:pPr>
        <w:spacing w:after="0" w:line="240" w:lineRule="auto"/>
      </w:pPr>
      <w:r w:rsidRPr="00A97450">
        <w:rPr>
          <w:b/>
          <w:bCs/>
        </w:rPr>
        <w:t>Une société française n’établit donc pas nécessairement tous ses comptes selon le même référentiel.</w:t>
      </w:r>
    </w:p>
    <w:p w14:paraId="357FF587" w14:textId="2473A293" w:rsidR="00A97450" w:rsidRPr="00A97450" w:rsidRDefault="00A97450" w:rsidP="00A97450">
      <w:pPr>
        <w:spacing w:after="0" w:line="240" w:lineRule="auto"/>
      </w:pPr>
      <w:r w:rsidRPr="00A97450">
        <w:t>Une société cotée peut par exemple avoir</w:t>
      </w:r>
      <w:r>
        <w:t> :</w:t>
      </w:r>
    </w:p>
    <w:p w14:paraId="08FB1895" w14:textId="41635D45" w:rsidR="00A97450" w:rsidRPr="00A97450" w:rsidRDefault="00A97450">
      <w:pPr>
        <w:numPr>
          <w:ilvl w:val="0"/>
          <w:numId w:val="30"/>
        </w:numPr>
        <w:spacing w:after="0" w:line="240" w:lineRule="auto"/>
      </w:pPr>
      <w:r w:rsidRPr="00A97450">
        <w:t xml:space="preserve">des </w:t>
      </w:r>
      <w:r w:rsidRPr="00A97450">
        <w:rPr>
          <w:b/>
          <w:bCs/>
        </w:rPr>
        <w:t>comptes individuels</w:t>
      </w:r>
      <w:r w:rsidRPr="00A97450">
        <w:t xml:space="preserve"> établis selon les règles françaises</w:t>
      </w:r>
      <w:r>
        <w:t> ;</w:t>
      </w:r>
    </w:p>
    <w:p w14:paraId="23EACC1F" w14:textId="77777777" w:rsidR="00A97450" w:rsidRPr="00A97450" w:rsidRDefault="00A97450">
      <w:pPr>
        <w:numPr>
          <w:ilvl w:val="0"/>
          <w:numId w:val="30"/>
        </w:numPr>
        <w:spacing w:after="0" w:line="240" w:lineRule="auto"/>
      </w:pPr>
      <w:r w:rsidRPr="00A97450">
        <w:t xml:space="preserve">des </w:t>
      </w:r>
      <w:r w:rsidRPr="00A97450">
        <w:rPr>
          <w:b/>
          <w:bCs/>
        </w:rPr>
        <w:t>comptes consolidés</w:t>
      </w:r>
      <w:r w:rsidRPr="00A97450">
        <w:t xml:space="preserve"> établis selon les IFRS adoptées par l’Union européenne.</w:t>
      </w:r>
    </w:p>
    <w:p w14:paraId="01A57963" w14:textId="77777777" w:rsidR="00A97450" w:rsidRPr="00A97450" w:rsidRDefault="00A97450" w:rsidP="00A97450">
      <w:pPr>
        <w:spacing w:after="0" w:line="240" w:lineRule="auto"/>
      </w:pPr>
      <w:r w:rsidRPr="00A97450">
        <w:pict w14:anchorId="6C00DD80">
          <v:rect id="_x0000_i3322" style="width:0;height:1.5pt" o:hralign="center" o:hrstd="t" o:hr="t" fillcolor="#a0a0a0" stroked="f"/>
        </w:pict>
      </w:r>
    </w:p>
    <w:p w14:paraId="442E8050" w14:textId="77777777" w:rsidR="00A97450" w:rsidRPr="00A97450" w:rsidRDefault="00A97450" w:rsidP="00A97450">
      <w:pPr>
        <w:pStyle w:val="Titre1"/>
      </w:pPr>
      <w:r w:rsidRPr="00A97450">
        <w:t>25. Le rôle de l’EFRAG</w:t>
      </w:r>
    </w:p>
    <w:p w14:paraId="46FD637E" w14:textId="77777777" w:rsidR="00A97450" w:rsidRPr="00A97450" w:rsidRDefault="00A97450" w:rsidP="00A97450">
      <w:pPr>
        <w:spacing w:after="0" w:line="240" w:lineRule="auto"/>
      </w:pPr>
      <w:r w:rsidRPr="00A97450">
        <w:t>L’</w:t>
      </w:r>
      <w:r w:rsidRPr="00A97450">
        <w:rPr>
          <w:b/>
          <w:bCs/>
        </w:rPr>
        <w:t>EFRAG (European Financial Reporting Advisory Group)</w:t>
      </w:r>
      <w:r w:rsidRPr="00A97450">
        <w:t xml:space="preserve"> intervient dans la construction de la position européenne en matière d’information financière.</w:t>
      </w:r>
    </w:p>
    <w:p w14:paraId="01DEA355" w14:textId="77777777" w:rsidR="00A97450" w:rsidRPr="00A97450" w:rsidRDefault="00A97450" w:rsidP="00A97450">
      <w:pPr>
        <w:spacing w:after="0" w:line="240" w:lineRule="auto"/>
      </w:pPr>
      <w:r w:rsidRPr="00A97450">
        <w:t>En matière d’IFRS, il analyse les nouvelles normes et conseille la Commission sur leur adoption européenne.</w:t>
      </w:r>
    </w:p>
    <w:p w14:paraId="552C9D17" w14:textId="77777777" w:rsidR="00A97450" w:rsidRPr="00A97450" w:rsidRDefault="00A97450" w:rsidP="00A97450">
      <w:pPr>
        <w:spacing w:after="0" w:line="240" w:lineRule="auto"/>
      </w:pPr>
      <w:r w:rsidRPr="00A97450">
        <w:t xml:space="preserve">Il constitue donc un </w:t>
      </w:r>
      <w:r w:rsidRPr="00A97450">
        <w:rPr>
          <w:b/>
          <w:bCs/>
        </w:rPr>
        <w:t>intermédiaire technique essentiel entre la normalisation internationale et l’Union européenne</w:t>
      </w:r>
      <w:r w:rsidRPr="00A97450">
        <w:t>.</w:t>
      </w:r>
    </w:p>
    <w:p w14:paraId="2B935174" w14:textId="77777777" w:rsidR="00A97450" w:rsidRPr="00A97450" w:rsidRDefault="00A97450" w:rsidP="00A97450">
      <w:pPr>
        <w:spacing w:after="0" w:line="240" w:lineRule="auto"/>
      </w:pPr>
      <w:r w:rsidRPr="00A97450">
        <w:pict w14:anchorId="783E6DCF">
          <v:rect id="_x0000_i3323" style="width:0;height:1.5pt" o:hralign="center" o:hrstd="t" o:hr="t" fillcolor="#a0a0a0" stroked="f"/>
        </w:pict>
      </w:r>
    </w:p>
    <w:p w14:paraId="4DA88E4E" w14:textId="77777777" w:rsidR="00A97450" w:rsidRPr="00A97450" w:rsidRDefault="00A97450" w:rsidP="00A97450">
      <w:pPr>
        <w:pStyle w:val="Titre1"/>
      </w:pPr>
      <w:r w:rsidRPr="00A97450">
        <w:t>26. Le FASB et les US GAAP</w:t>
      </w:r>
    </w:p>
    <w:p w14:paraId="566824E5" w14:textId="77777777" w:rsidR="00A97450" w:rsidRPr="00A97450" w:rsidRDefault="00A97450" w:rsidP="00A97450">
      <w:pPr>
        <w:spacing w:after="0" w:line="240" w:lineRule="auto"/>
      </w:pPr>
      <w:r w:rsidRPr="00A97450">
        <w:t xml:space="preserve">Le </w:t>
      </w:r>
      <w:r w:rsidRPr="00A97450">
        <w:rPr>
          <w:b/>
          <w:bCs/>
        </w:rPr>
        <w:t>FASB (Financial Accounting Standards Board)</w:t>
      </w:r>
      <w:r w:rsidRPr="00A97450">
        <w:t xml:space="preserve"> est le principal normalisateur de l’information financière pour les entités non gouvernementales aux États-Unis.</w:t>
      </w:r>
    </w:p>
    <w:p w14:paraId="745C47DE" w14:textId="7CEE4953" w:rsidR="00A97450" w:rsidRPr="00A97450" w:rsidRDefault="00A97450" w:rsidP="00A97450">
      <w:pPr>
        <w:spacing w:after="0" w:line="240" w:lineRule="auto"/>
      </w:pPr>
      <w:r w:rsidRPr="00A97450">
        <w:t>Les règles américaines sont couramment désignées par l’expression</w:t>
      </w:r>
      <w:r>
        <w:t> :</w:t>
      </w:r>
    </w:p>
    <w:p w14:paraId="133E1852" w14:textId="4F0484C4" w:rsidR="00A97450" w:rsidRPr="00A97450" w:rsidRDefault="00A97450" w:rsidP="00A97450">
      <w:pPr>
        <w:spacing w:after="0" w:line="240" w:lineRule="auto"/>
        <w:rPr>
          <w:lang w:val="en-GB"/>
        </w:rPr>
      </w:pPr>
      <w:r w:rsidRPr="00A97450">
        <w:rPr>
          <w:b/>
          <w:bCs/>
          <w:lang w:val="en-GB"/>
        </w:rPr>
        <w:t xml:space="preserve">US GAAP </w:t>
      </w:r>
      <w:r w:rsidRPr="00A97450">
        <w:rPr>
          <w:b/>
          <w:bCs/>
          <w:lang w:val="en-GB"/>
        </w:rPr>
        <w:t>-</w:t>
      </w:r>
      <w:r w:rsidRPr="00A97450">
        <w:rPr>
          <w:b/>
          <w:bCs/>
          <w:lang w:val="en-GB"/>
        </w:rPr>
        <w:t xml:space="preserve"> United States Generally Accepted Accounting Principles</w:t>
      </w:r>
    </w:p>
    <w:p w14:paraId="5037C141" w14:textId="340E6BA5" w:rsidR="00A97450" w:rsidRPr="00A97450" w:rsidRDefault="00A97450" w:rsidP="00A97450">
      <w:pPr>
        <w:spacing w:after="0" w:line="240" w:lineRule="auto"/>
      </w:pPr>
      <w:r w:rsidRPr="00A97450">
        <w:t>soit</w:t>
      </w:r>
      <w:r>
        <w:t> :</w:t>
      </w:r>
    </w:p>
    <w:p w14:paraId="05FDAEB0" w14:textId="77777777" w:rsidR="00A97450" w:rsidRPr="00A97450" w:rsidRDefault="00A97450" w:rsidP="00A97450">
      <w:pPr>
        <w:spacing w:after="0" w:line="240" w:lineRule="auto"/>
      </w:pPr>
      <w:r w:rsidRPr="00A97450">
        <w:rPr>
          <w:b/>
          <w:bCs/>
        </w:rPr>
        <w:t>principes comptables généralement admis aux États-Unis</w:t>
      </w:r>
      <w:r w:rsidRPr="00A97450">
        <w:t>.</w:t>
      </w:r>
    </w:p>
    <w:p w14:paraId="702341C5" w14:textId="77777777" w:rsidR="00A97450" w:rsidRPr="00A97450" w:rsidRDefault="00A97450" w:rsidP="00A97450">
      <w:pPr>
        <w:spacing w:after="0" w:line="240" w:lineRule="auto"/>
      </w:pPr>
      <w:r w:rsidRPr="00A97450">
        <w:t xml:space="preserve">Le </w:t>
      </w:r>
      <w:r w:rsidRPr="00A97450">
        <w:rPr>
          <w:b/>
          <w:bCs/>
        </w:rPr>
        <w:t>FASB Accounting Standards Codification</w:t>
      </w:r>
      <w:r w:rsidRPr="00A97450">
        <w:t xml:space="preserve"> constitue la source faisant autorité pour les US GAAP relevant du FASB.</w:t>
      </w:r>
    </w:p>
    <w:p w14:paraId="139F0660" w14:textId="285BFDA2" w:rsidR="00A97450" w:rsidRPr="00A97450" w:rsidRDefault="00A97450" w:rsidP="00A97450">
      <w:pPr>
        <w:spacing w:after="0" w:line="240" w:lineRule="auto"/>
        <w:rPr>
          <w:b/>
          <w:bCs/>
        </w:rPr>
      </w:pPr>
      <w:r w:rsidRPr="00A97450">
        <w:rPr>
          <w:b/>
          <w:bCs/>
        </w:rPr>
        <w:t>Pourquoi connaître le FASB</w:t>
      </w:r>
      <w:r>
        <w:rPr>
          <w:b/>
          <w:bCs/>
        </w:rPr>
        <w:t> ?</w:t>
      </w:r>
    </w:p>
    <w:p w14:paraId="56C44240" w14:textId="64C35686" w:rsidR="00A97450" w:rsidRPr="00A97450" w:rsidRDefault="00A97450" w:rsidP="00A97450">
      <w:pPr>
        <w:spacing w:after="0" w:line="240" w:lineRule="auto"/>
      </w:pPr>
      <w:r w:rsidRPr="00A97450">
        <w:t>Il permet de comprendre qu’il existe plusieurs grands systèmes de normalisation</w:t>
      </w:r>
      <w:r>
        <w:t> :</w:t>
      </w:r>
    </w:p>
    <w:tbl>
      <w:tblPr>
        <w:tblStyle w:val="Grilledutableau"/>
        <w:tblW w:w="0" w:type="auto"/>
        <w:tblLook w:val="04A0" w:firstRow="1" w:lastRow="0" w:firstColumn="1" w:lastColumn="0" w:noHBand="0" w:noVBand="1"/>
      </w:tblPr>
      <w:tblGrid>
        <w:gridCol w:w="2117"/>
        <w:gridCol w:w="2512"/>
        <w:gridCol w:w="2481"/>
      </w:tblGrid>
      <w:tr w:rsidR="00A97450" w:rsidRPr="00A97450" w14:paraId="5CB8C3D7" w14:textId="77777777" w:rsidTr="00A97450">
        <w:trPr>
          <w:tblHeader/>
        </w:trPr>
        <w:tc>
          <w:tcPr>
            <w:tcW w:w="0" w:type="auto"/>
            <w:hideMark/>
          </w:tcPr>
          <w:p w14:paraId="422E85FD" w14:textId="77777777" w:rsidR="00A97450" w:rsidRPr="00A97450" w:rsidRDefault="00A97450" w:rsidP="00A97450">
            <w:pPr>
              <w:jc w:val="left"/>
              <w:rPr>
                <w:rFonts w:ascii="Calibri" w:hAnsi="Calibri" w:cs="Calibri"/>
                <w:b/>
                <w:bCs/>
                <w:sz w:val="20"/>
              </w:rPr>
            </w:pPr>
            <w:r w:rsidRPr="00A97450">
              <w:rPr>
                <w:rFonts w:ascii="Calibri" w:hAnsi="Calibri" w:cs="Calibri"/>
                <w:b/>
                <w:bCs/>
                <w:sz w:val="20"/>
              </w:rPr>
              <w:t>France</w:t>
            </w:r>
          </w:p>
        </w:tc>
        <w:tc>
          <w:tcPr>
            <w:tcW w:w="0" w:type="auto"/>
            <w:hideMark/>
          </w:tcPr>
          <w:p w14:paraId="0DD7149A" w14:textId="77777777" w:rsidR="00A97450" w:rsidRPr="00A97450" w:rsidRDefault="00A97450" w:rsidP="00A97450">
            <w:pPr>
              <w:jc w:val="left"/>
              <w:rPr>
                <w:rFonts w:ascii="Calibri" w:hAnsi="Calibri" w:cs="Calibri"/>
                <w:b/>
                <w:bCs/>
                <w:sz w:val="20"/>
              </w:rPr>
            </w:pPr>
            <w:r w:rsidRPr="00A97450">
              <w:rPr>
                <w:rFonts w:ascii="Calibri" w:hAnsi="Calibri" w:cs="Calibri"/>
                <w:b/>
                <w:bCs/>
                <w:sz w:val="20"/>
              </w:rPr>
              <w:t>International</w:t>
            </w:r>
          </w:p>
        </w:tc>
        <w:tc>
          <w:tcPr>
            <w:tcW w:w="0" w:type="auto"/>
            <w:hideMark/>
          </w:tcPr>
          <w:p w14:paraId="0F3E1BAF" w14:textId="77777777" w:rsidR="00A97450" w:rsidRPr="00A97450" w:rsidRDefault="00A97450" w:rsidP="00A97450">
            <w:pPr>
              <w:jc w:val="left"/>
              <w:rPr>
                <w:rFonts w:ascii="Calibri" w:hAnsi="Calibri" w:cs="Calibri"/>
                <w:b/>
                <w:bCs/>
                <w:sz w:val="20"/>
              </w:rPr>
            </w:pPr>
            <w:r w:rsidRPr="00A97450">
              <w:rPr>
                <w:rFonts w:ascii="Calibri" w:hAnsi="Calibri" w:cs="Calibri"/>
                <w:b/>
                <w:bCs/>
                <w:sz w:val="20"/>
              </w:rPr>
              <w:t>États-Unis</w:t>
            </w:r>
          </w:p>
        </w:tc>
      </w:tr>
      <w:tr w:rsidR="00A97450" w:rsidRPr="00A97450" w14:paraId="18468EB0" w14:textId="77777777" w:rsidTr="00A97450">
        <w:tc>
          <w:tcPr>
            <w:tcW w:w="0" w:type="auto"/>
            <w:hideMark/>
          </w:tcPr>
          <w:p w14:paraId="373E02F2" w14:textId="77777777" w:rsidR="00A97450" w:rsidRPr="00A97450" w:rsidRDefault="00A97450" w:rsidP="00A97450">
            <w:pPr>
              <w:jc w:val="left"/>
              <w:rPr>
                <w:rFonts w:ascii="Calibri" w:hAnsi="Calibri" w:cs="Calibri"/>
                <w:sz w:val="20"/>
              </w:rPr>
            </w:pPr>
            <w:r w:rsidRPr="00A97450">
              <w:rPr>
                <w:rFonts w:ascii="Calibri" w:hAnsi="Calibri" w:cs="Calibri"/>
                <w:sz w:val="20"/>
              </w:rPr>
              <w:t>ANC</w:t>
            </w:r>
          </w:p>
        </w:tc>
        <w:tc>
          <w:tcPr>
            <w:tcW w:w="0" w:type="auto"/>
            <w:hideMark/>
          </w:tcPr>
          <w:p w14:paraId="6103D0B5" w14:textId="77777777" w:rsidR="00A97450" w:rsidRPr="00A97450" w:rsidRDefault="00A97450" w:rsidP="00A97450">
            <w:pPr>
              <w:jc w:val="left"/>
              <w:rPr>
                <w:rFonts w:ascii="Calibri" w:hAnsi="Calibri" w:cs="Calibri"/>
                <w:sz w:val="20"/>
              </w:rPr>
            </w:pPr>
            <w:r w:rsidRPr="00A97450">
              <w:rPr>
                <w:rFonts w:ascii="Calibri" w:hAnsi="Calibri" w:cs="Calibri"/>
                <w:sz w:val="20"/>
              </w:rPr>
              <w:t>IASB</w:t>
            </w:r>
          </w:p>
        </w:tc>
        <w:tc>
          <w:tcPr>
            <w:tcW w:w="0" w:type="auto"/>
            <w:hideMark/>
          </w:tcPr>
          <w:p w14:paraId="6A6AA4F1" w14:textId="77777777" w:rsidR="00A97450" w:rsidRPr="00A97450" w:rsidRDefault="00A97450" w:rsidP="00A97450">
            <w:pPr>
              <w:jc w:val="left"/>
              <w:rPr>
                <w:rFonts w:ascii="Calibri" w:hAnsi="Calibri" w:cs="Calibri"/>
                <w:sz w:val="20"/>
              </w:rPr>
            </w:pPr>
            <w:r w:rsidRPr="00A97450">
              <w:rPr>
                <w:rFonts w:ascii="Calibri" w:hAnsi="Calibri" w:cs="Calibri"/>
                <w:sz w:val="20"/>
              </w:rPr>
              <w:t>FASB</w:t>
            </w:r>
          </w:p>
        </w:tc>
      </w:tr>
      <w:tr w:rsidR="00A97450" w:rsidRPr="00A97450" w14:paraId="76265B92" w14:textId="77777777" w:rsidTr="00A97450">
        <w:tc>
          <w:tcPr>
            <w:tcW w:w="0" w:type="auto"/>
            <w:hideMark/>
          </w:tcPr>
          <w:p w14:paraId="65DCC74F" w14:textId="77777777" w:rsidR="00A97450" w:rsidRPr="00A97450" w:rsidRDefault="00A97450" w:rsidP="00A97450">
            <w:pPr>
              <w:jc w:val="left"/>
              <w:rPr>
                <w:rFonts w:ascii="Calibri" w:hAnsi="Calibri" w:cs="Calibri"/>
                <w:sz w:val="20"/>
              </w:rPr>
            </w:pPr>
            <w:r w:rsidRPr="00A97450">
              <w:rPr>
                <w:rFonts w:ascii="Calibri" w:hAnsi="Calibri" w:cs="Calibri"/>
                <w:sz w:val="20"/>
              </w:rPr>
              <w:t>PCG et règlements ANC</w:t>
            </w:r>
          </w:p>
        </w:tc>
        <w:tc>
          <w:tcPr>
            <w:tcW w:w="0" w:type="auto"/>
            <w:hideMark/>
          </w:tcPr>
          <w:p w14:paraId="61D70594" w14:textId="77777777" w:rsidR="00A97450" w:rsidRPr="00A97450" w:rsidRDefault="00A97450" w:rsidP="00A97450">
            <w:pPr>
              <w:jc w:val="left"/>
              <w:rPr>
                <w:rFonts w:ascii="Calibri" w:hAnsi="Calibri" w:cs="Calibri"/>
                <w:sz w:val="20"/>
              </w:rPr>
            </w:pPr>
            <w:r w:rsidRPr="00A97450">
              <w:rPr>
                <w:rFonts w:ascii="Calibri" w:hAnsi="Calibri" w:cs="Calibri"/>
                <w:sz w:val="20"/>
              </w:rPr>
              <w:t>IFRS Accounting Standards</w:t>
            </w:r>
          </w:p>
        </w:tc>
        <w:tc>
          <w:tcPr>
            <w:tcW w:w="0" w:type="auto"/>
            <w:hideMark/>
          </w:tcPr>
          <w:p w14:paraId="10FDDD7A" w14:textId="77777777" w:rsidR="00A97450" w:rsidRPr="00A97450" w:rsidRDefault="00A97450" w:rsidP="00A97450">
            <w:pPr>
              <w:jc w:val="left"/>
              <w:rPr>
                <w:rFonts w:ascii="Calibri" w:hAnsi="Calibri" w:cs="Calibri"/>
                <w:sz w:val="20"/>
              </w:rPr>
            </w:pPr>
            <w:r w:rsidRPr="00A97450">
              <w:rPr>
                <w:rFonts w:ascii="Calibri" w:hAnsi="Calibri" w:cs="Calibri"/>
                <w:sz w:val="20"/>
              </w:rPr>
              <w:t>US GAAP</w:t>
            </w:r>
          </w:p>
        </w:tc>
      </w:tr>
      <w:tr w:rsidR="00A97450" w:rsidRPr="00A97450" w14:paraId="564D2133" w14:textId="77777777" w:rsidTr="00A97450">
        <w:tc>
          <w:tcPr>
            <w:tcW w:w="0" w:type="auto"/>
            <w:hideMark/>
          </w:tcPr>
          <w:p w14:paraId="3893F078" w14:textId="77777777" w:rsidR="00A97450" w:rsidRPr="00A97450" w:rsidRDefault="00A97450" w:rsidP="00A97450">
            <w:pPr>
              <w:jc w:val="left"/>
              <w:rPr>
                <w:rFonts w:ascii="Calibri" w:hAnsi="Calibri" w:cs="Calibri"/>
                <w:sz w:val="20"/>
              </w:rPr>
            </w:pPr>
            <w:r w:rsidRPr="00A97450">
              <w:rPr>
                <w:rFonts w:ascii="Calibri" w:hAnsi="Calibri" w:cs="Calibri"/>
                <w:sz w:val="20"/>
              </w:rPr>
              <w:t>Cadre français</w:t>
            </w:r>
          </w:p>
        </w:tc>
        <w:tc>
          <w:tcPr>
            <w:tcW w:w="0" w:type="auto"/>
            <w:hideMark/>
          </w:tcPr>
          <w:p w14:paraId="1E7CEBF6" w14:textId="77777777" w:rsidR="00A97450" w:rsidRPr="00A97450" w:rsidRDefault="00A97450" w:rsidP="00A97450">
            <w:pPr>
              <w:jc w:val="left"/>
              <w:rPr>
                <w:rFonts w:ascii="Calibri" w:hAnsi="Calibri" w:cs="Calibri"/>
                <w:sz w:val="20"/>
              </w:rPr>
            </w:pPr>
            <w:r w:rsidRPr="00A97450">
              <w:rPr>
                <w:rFonts w:ascii="Calibri" w:hAnsi="Calibri" w:cs="Calibri"/>
                <w:sz w:val="20"/>
              </w:rPr>
              <w:t>Conceptual Framework IASB</w:t>
            </w:r>
          </w:p>
        </w:tc>
        <w:tc>
          <w:tcPr>
            <w:tcW w:w="0" w:type="auto"/>
            <w:hideMark/>
          </w:tcPr>
          <w:p w14:paraId="3974F0F8" w14:textId="77777777" w:rsidR="00A97450" w:rsidRPr="00A97450" w:rsidRDefault="00A97450" w:rsidP="00A97450">
            <w:pPr>
              <w:jc w:val="left"/>
              <w:rPr>
                <w:rFonts w:ascii="Calibri" w:hAnsi="Calibri" w:cs="Calibri"/>
                <w:sz w:val="20"/>
              </w:rPr>
            </w:pPr>
            <w:r w:rsidRPr="00A97450">
              <w:rPr>
                <w:rFonts w:ascii="Calibri" w:hAnsi="Calibri" w:cs="Calibri"/>
                <w:sz w:val="20"/>
              </w:rPr>
              <w:t>Cadre conceptuel américain</w:t>
            </w:r>
          </w:p>
        </w:tc>
      </w:tr>
    </w:tbl>
    <w:p w14:paraId="67FF89D3" w14:textId="77777777" w:rsidR="00A97450" w:rsidRPr="00A97450" w:rsidRDefault="00A97450" w:rsidP="00A97450">
      <w:pPr>
        <w:spacing w:after="0" w:line="240" w:lineRule="auto"/>
        <w:rPr>
          <w:b/>
          <w:bCs/>
        </w:rPr>
      </w:pPr>
      <w:r w:rsidRPr="00A97450">
        <w:rPr>
          <w:b/>
          <w:bCs/>
        </w:rPr>
        <w:t>IFRS ≠ US GAAP</w:t>
      </w:r>
    </w:p>
    <w:p w14:paraId="51575DDC" w14:textId="77777777" w:rsidR="00A97450" w:rsidRPr="00A97450" w:rsidRDefault="00A97450" w:rsidP="00A97450">
      <w:pPr>
        <w:spacing w:after="0" w:line="240" w:lineRule="auto"/>
      </w:pPr>
      <w:r w:rsidRPr="00A97450">
        <w:t>Les deux référentiels poursuivent des objectifs proches de qualité et de comparabilité de l’information financière mais leurs règles ne sont pas identiques.</w:t>
      </w:r>
    </w:p>
    <w:p w14:paraId="1FB8A494" w14:textId="77777777" w:rsidR="00A97450" w:rsidRPr="00A97450" w:rsidRDefault="00A97450" w:rsidP="00A97450">
      <w:pPr>
        <w:spacing w:after="0" w:line="240" w:lineRule="auto"/>
      </w:pPr>
      <w:r w:rsidRPr="00A97450">
        <w:t xml:space="preserve">Il ne faut donc jamais utiliser </w:t>
      </w:r>
      <w:r w:rsidRPr="00A97450">
        <w:rPr>
          <w:b/>
          <w:bCs/>
        </w:rPr>
        <w:t>IFRS</w:t>
      </w:r>
      <w:r w:rsidRPr="00A97450">
        <w:t xml:space="preserve"> et </w:t>
      </w:r>
      <w:r w:rsidRPr="00A97450">
        <w:rPr>
          <w:b/>
          <w:bCs/>
        </w:rPr>
        <w:t>US GAAP</w:t>
      </w:r>
      <w:r w:rsidRPr="00A97450">
        <w:t xml:space="preserve"> comme des synonymes.</w:t>
      </w:r>
    </w:p>
    <w:p w14:paraId="098E8B93" w14:textId="77777777" w:rsidR="00A97450" w:rsidRPr="00A97450" w:rsidRDefault="00A97450" w:rsidP="00A97450">
      <w:pPr>
        <w:spacing w:after="0" w:line="240" w:lineRule="auto"/>
      </w:pPr>
      <w:r w:rsidRPr="00A97450">
        <w:pict w14:anchorId="0E079736">
          <v:rect id="_x0000_i3324" style="width:0;height:1.5pt" o:hralign="center" o:hrstd="t" o:hr="t" fillcolor="#a0a0a0" stroked="f"/>
        </w:pict>
      </w:r>
    </w:p>
    <w:p w14:paraId="3C8D36A8" w14:textId="77777777" w:rsidR="00A97450" w:rsidRPr="00A97450" w:rsidRDefault="00A97450" w:rsidP="00A97450">
      <w:pPr>
        <w:pStyle w:val="Titre1"/>
      </w:pPr>
      <w:r w:rsidRPr="00A97450">
        <w:t>27. Comparer le cadre français et le cadre IFRS</w:t>
      </w:r>
    </w:p>
    <w:p w14:paraId="1076A3F9" w14:textId="77777777" w:rsidR="00A97450" w:rsidRPr="00A97450" w:rsidRDefault="00A97450" w:rsidP="00A97450">
      <w:pPr>
        <w:spacing w:after="0" w:line="240" w:lineRule="auto"/>
      </w:pPr>
      <w:r w:rsidRPr="00A97450">
        <w:t>Le fichier source proposait déjà une comparaison France / IASB.</w:t>
      </w:r>
    </w:p>
    <w:p w14:paraId="327D523D" w14:textId="77777777" w:rsidR="00A97450" w:rsidRPr="00A97450" w:rsidRDefault="00A97450" w:rsidP="00A97450">
      <w:pPr>
        <w:spacing w:after="0" w:line="240" w:lineRule="auto"/>
      </w:pPr>
      <w:r w:rsidRPr="00A97450">
        <w:t xml:space="preserve">Elle doit être comprise comme une comparaison de </w:t>
      </w:r>
      <w:r w:rsidRPr="00A97450">
        <w:rPr>
          <w:b/>
          <w:bCs/>
        </w:rPr>
        <w:t>logiques générales</w:t>
      </w:r>
      <w:r w:rsidRPr="00A97450">
        <w:t>, et non comme l’idée que toutes les normes IFRS seraient systématiquement opposées aux règles françaises.</w:t>
      </w:r>
    </w:p>
    <w:tbl>
      <w:tblPr>
        <w:tblStyle w:val="Grilledutableau"/>
        <w:tblW w:w="0" w:type="auto"/>
        <w:tblLook w:val="04A0" w:firstRow="1" w:lastRow="0" w:firstColumn="1" w:lastColumn="0" w:noHBand="0" w:noVBand="1"/>
      </w:tblPr>
      <w:tblGrid>
        <w:gridCol w:w="3780"/>
        <w:gridCol w:w="6676"/>
      </w:tblGrid>
      <w:tr w:rsidR="00A97450" w:rsidRPr="00A97450" w14:paraId="715C8953" w14:textId="77777777" w:rsidTr="00A97450">
        <w:trPr>
          <w:tblHeader/>
        </w:trPr>
        <w:tc>
          <w:tcPr>
            <w:tcW w:w="0" w:type="auto"/>
            <w:hideMark/>
          </w:tcPr>
          <w:p w14:paraId="0CC8AC47" w14:textId="77777777" w:rsidR="00A97450" w:rsidRPr="00A97450" w:rsidRDefault="00A97450" w:rsidP="00A97450">
            <w:pPr>
              <w:jc w:val="left"/>
              <w:rPr>
                <w:rFonts w:ascii="Calibri" w:hAnsi="Calibri" w:cs="Calibri"/>
                <w:b/>
                <w:bCs/>
                <w:sz w:val="20"/>
              </w:rPr>
            </w:pPr>
            <w:r w:rsidRPr="00A97450">
              <w:rPr>
                <w:rFonts w:ascii="Calibri" w:hAnsi="Calibri" w:cs="Calibri"/>
                <w:b/>
                <w:bCs/>
                <w:sz w:val="20"/>
              </w:rPr>
              <w:lastRenderedPageBreak/>
              <w:t>Cadre français</w:t>
            </w:r>
          </w:p>
        </w:tc>
        <w:tc>
          <w:tcPr>
            <w:tcW w:w="0" w:type="auto"/>
            <w:hideMark/>
          </w:tcPr>
          <w:p w14:paraId="0985E987" w14:textId="77777777" w:rsidR="00A97450" w:rsidRPr="00A97450" w:rsidRDefault="00A97450" w:rsidP="00A97450">
            <w:pPr>
              <w:jc w:val="left"/>
              <w:rPr>
                <w:rFonts w:ascii="Calibri" w:hAnsi="Calibri" w:cs="Calibri"/>
                <w:b/>
                <w:bCs/>
                <w:sz w:val="20"/>
              </w:rPr>
            </w:pPr>
            <w:r w:rsidRPr="00A97450">
              <w:rPr>
                <w:rFonts w:ascii="Calibri" w:hAnsi="Calibri" w:cs="Calibri"/>
                <w:b/>
                <w:bCs/>
                <w:sz w:val="20"/>
              </w:rPr>
              <w:t>Cadre IFRS</w:t>
            </w:r>
          </w:p>
        </w:tc>
      </w:tr>
      <w:tr w:rsidR="00A97450" w:rsidRPr="00A97450" w14:paraId="7256295C" w14:textId="77777777" w:rsidTr="00A97450">
        <w:tc>
          <w:tcPr>
            <w:tcW w:w="0" w:type="auto"/>
            <w:hideMark/>
          </w:tcPr>
          <w:p w14:paraId="060D3895" w14:textId="77777777" w:rsidR="00A97450" w:rsidRPr="00A97450" w:rsidRDefault="00A97450" w:rsidP="00A97450">
            <w:pPr>
              <w:jc w:val="left"/>
              <w:rPr>
                <w:rFonts w:ascii="Calibri" w:hAnsi="Calibri" w:cs="Calibri"/>
                <w:sz w:val="20"/>
              </w:rPr>
            </w:pPr>
            <w:r w:rsidRPr="00A97450">
              <w:rPr>
                <w:rFonts w:ascii="Calibri" w:hAnsi="Calibri" w:cs="Calibri"/>
                <w:sz w:val="20"/>
              </w:rPr>
              <w:t>Forte articulation entre comptabilité et droit</w:t>
            </w:r>
          </w:p>
        </w:tc>
        <w:tc>
          <w:tcPr>
            <w:tcW w:w="0" w:type="auto"/>
            <w:hideMark/>
          </w:tcPr>
          <w:p w14:paraId="44405052" w14:textId="77777777" w:rsidR="00A97450" w:rsidRPr="00A97450" w:rsidRDefault="00A97450" w:rsidP="00A97450">
            <w:pPr>
              <w:jc w:val="left"/>
              <w:rPr>
                <w:rFonts w:ascii="Calibri" w:hAnsi="Calibri" w:cs="Calibri"/>
                <w:sz w:val="20"/>
              </w:rPr>
            </w:pPr>
            <w:r w:rsidRPr="00A97450">
              <w:rPr>
                <w:rFonts w:ascii="Calibri" w:hAnsi="Calibri" w:cs="Calibri"/>
                <w:sz w:val="20"/>
              </w:rPr>
              <w:t>Référentiel international d’information financière</w:t>
            </w:r>
          </w:p>
        </w:tc>
      </w:tr>
      <w:tr w:rsidR="00A97450" w:rsidRPr="00A97450" w14:paraId="4010F9E9" w14:textId="77777777" w:rsidTr="00A97450">
        <w:tc>
          <w:tcPr>
            <w:tcW w:w="0" w:type="auto"/>
            <w:hideMark/>
          </w:tcPr>
          <w:p w14:paraId="6E7DAAE0" w14:textId="77777777" w:rsidR="00A97450" w:rsidRPr="00A97450" w:rsidRDefault="00A97450" w:rsidP="00A97450">
            <w:pPr>
              <w:jc w:val="left"/>
              <w:rPr>
                <w:rFonts w:ascii="Calibri" w:hAnsi="Calibri" w:cs="Calibri"/>
                <w:sz w:val="20"/>
              </w:rPr>
            </w:pPr>
            <w:r w:rsidRPr="00A97450">
              <w:rPr>
                <w:rFonts w:ascii="Calibri" w:hAnsi="Calibri" w:cs="Calibri"/>
                <w:sz w:val="20"/>
              </w:rPr>
              <w:t>PCG pour les comptes individuels relevant de son champ</w:t>
            </w:r>
          </w:p>
        </w:tc>
        <w:tc>
          <w:tcPr>
            <w:tcW w:w="0" w:type="auto"/>
            <w:hideMark/>
          </w:tcPr>
          <w:p w14:paraId="66114856" w14:textId="77777777" w:rsidR="00A97450" w:rsidRPr="00A97450" w:rsidRDefault="00A97450" w:rsidP="00A97450">
            <w:pPr>
              <w:jc w:val="left"/>
              <w:rPr>
                <w:rFonts w:ascii="Calibri" w:hAnsi="Calibri" w:cs="Calibri"/>
                <w:sz w:val="20"/>
              </w:rPr>
            </w:pPr>
            <w:r w:rsidRPr="00A97450">
              <w:rPr>
                <w:rFonts w:ascii="Calibri" w:hAnsi="Calibri" w:cs="Calibri"/>
                <w:sz w:val="20"/>
              </w:rPr>
              <w:t>IFRS notamment pour certains comptes consolidés</w:t>
            </w:r>
          </w:p>
        </w:tc>
      </w:tr>
      <w:tr w:rsidR="00A97450" w:rsidRPr="00A97450" w14:paraId="2AA83562" w14:textId="77777777" w:rsidTr="00A97450">
        <w:tc>
          <w:tcPr>
            <w:tcW w:w="0" w:type="auto"/>
            <w:hideMark/>
          </w:tcPr>
          <w:p w14:paraId="66504459" w14:textId="77777777" w:rsidR="00A97450" w:rsidRPr="00A97450" w:rsidRDefault="00A97450" w:rsidP="00A97450">
            <w:pPr>
              <w:jc w:val="left"/>
              <w:rPr>
                <w:rFonts w:ascii="Calibri" w:hAnsi="Calibri" w:cs="Calibri"/>
                <w:sz w:val="20"/>
              </w:rPr>
            </w:pPr>
            <w:r w:rsidRPr="00A97450">
              <w:rPr>
                <w:rFonts w:ascii="Calibri" w:hAnsi="Calibri" w:cs="Calibri"/>
                <w:sz w:val="20"/>
              </w:rPr>
              <w:t>Importance du patrimoine et des règles légales françaises</w:t>
            </w:r>
          </w:p>
        </w:tc>
        <w:tc>
          <w:tcPr>
            <w:tcW w:w="0" w:type="auto"/>
            <w:hideMark/>
          </w:tcPr>
          <w:p w14:paraId="305AE8F8" w14:textId="77777777" w:rsidR="00A97450" w:rsidRPr="00A97450" w:rsidRDefault="00A97450" w:rsidP="00A97450">
            <w:pPr>
              <w:jc w:val="left"/>
              <w:rPr>
                <w:rFonts w:ascii="Calibri" w:hAnsi="Calibri" w:cs="Calibri"/>
                <w:sz w:val="20"/>
              </w:rPr>
            </w:pPr>
            <w:r w:rsidRPr="00A97450">
              <w:rPr>
                <w:rFonts w:ascii="Calibri" w:hAnsi="Calibri" w:cs="Calibri"/>
                <w:sz w:val="20"/>
              </w:rPr>
              <w:t>Forte orientation vers l’utilité de l’information financière pour les investisseurs, prêteurs et autres créanciers</w:t>
            </w:r>
          </w:p>
        </w:tc>
      </w:tr>
      <w:tr w:rsidR="00A97450" w:rsidRPr="00A97450" w14:paraId="100C223D" w14:textId="77777777" w:rsidTr="00A97450">
        <w:tc>
          <w:tcPr>
            <w:tcW w:w="0" w:type="auto"/>
            <w:hideMark/>
          </w:tcPr>
          <w:p w14:paraId="1214A86D" w14:textId="77777777" w:rsidR="00A97450" w:rsidRPr="00A97450" w:rsidRDefault="00A97450" w:rsidP="00A97450">
            <w:pPr>
              <w:jc w:val="left"/>
              <w:rPr>
                <w:rFonts w:ascii="Calibri" w:hAnsi="Calibri" w:cs="Calibri"/>
                <w:sz w:val="20"/>
              </w:rPr>
            </w:pPr>
            <w:r w:rsidRPr="00A97450">
              <w:rPr>
                <w:rFonts w:ascii="Calibri" w:hAnsi="Calibri" w:cs="Calibri"/>
                <w:sz w:val="20"/>
              </w:rPr>
              <w:t>ANC</w:t>
            </w:r>
          </w:p>
        </w:tc>
        <w:tc>
          <w:tcPr>
            <w:tcW w:w="0" w:type="auto"/>
            <w:hideMark/>
          </w:tcPr>
          <w:p w14:paraId="3D8E1D70" w14:textId="77777777" w:rsidR="00A97450" w:rsidRPr="00A97450" w:rsidRDefault="00A97450" w:rsidP="00A97450">
            <w:pPr>
              <w:jc w:val="left"/>
              <w:rPr>
                <w:rFonts w:ascii="Calibri" w:hAnsi="Calibri" w:cs="Calibri"/>
                <w:sz w:val="20"/>
              </w:rPr>
            </w:pPr>
            <w:r w:rsidRPr="00A97450">
              <w:rPr>
                <w:rFonts w:ascii="Calibri" w:hAnsi="Calibri" w:cs="Calibri"/>
                <w:sz w:val="20"/>
              </w:rPr>
              <w:t>IASB</w:t>
            </w:r>
          </w:p>
        </w:tc>
      </w:tr>
      <w:tr w:rsidR="00A97450" w:rsidRPr="00A97450" w14:paraId="43B9B418" w14:textId="77777777" w:rsidTr="00A97450">
        <w:tc>
          <w:tcPr>
            <w:tcW w:w="0" w:type="auto"/>
            <w:hideMark/>
          </w:tcPr>
          <w:p w14:paraId="3C8A3BC0" w14:textId="77777777" w:rsidR="00A97450" w:rsidRPr="00A97450" w:rsidRDefault="00A97450" w:rsidP="00A97450">
            <w:pPr>
              <w:jc w:val="left"/>
              <w:rPr>
                <w:rFonts w:ascii="Calibri" w:hAnsi="Calibri" w:cs="Calibri"/>
                <w:sz w:val="20"/>
              </w:rPr>
            </w:pPr>
            <w:r w:rsidRPr="00A97450">
              <w:rPr>
                <w:rFonts w:ascii="Calibri" w:hAnsi="Calibri" w:cs="Calibri"/>
                <w:sz w:val="20"/>
              </w:rPr>
              <w:t>Principes et règles intégrés notamment au PCG</w:t>
            </w:r>
          </w:p>
        </w:tc>
        <w:tc>
          <w:tcPr>
            <w:tcW w:w="0" w:type="auto"/>
            <w:hideMark/>
          </w:tcPr>
          <w:p w14:paraId="1E231A6E" w14:textId="77777777" w:rsidR="00A97450" w:rsidRPr="00A97450" w:rsidRDefault="00A97450" w:rsidP="00A97450">
            <w:pPr>
              <w:jc w:val="left"/>
              <w:rPr>
                <w:rFonts w:ascii="Calibri" w:hAnsi="Calibri" w:cs="Calibri"/>
                <w:sz w:val="20"/>
              </w:rPr>
            </w:pPr>
            <w:r w:rsidRPr="00A97450">
              <w:rPr>
                <w:rFonts w:ascii="Calibri" w:hAnsi="Calibri" w:cs="Calibri"/>
                <w:sz w:val="20"/>
              </w:rPr>
              <w:t>Cadre conceptuel autonome</w:t>
            </w:r>
          </w:p>
        </w:tc>
      </w:tr>
      <w:tr w:rsidR="00A97450" w:rsidRPr="00A97450" w14:paraId="3376E547" w14:textId="77777777" w:rsidTr="00A97450">
        <w:tc>
          <w:tcPr>
            <w:tcW w:w="0" w:type="auto"/>
            <w:hideMark/>
          </w:tcPr>
          <w:p w14:paraId="463ED728" w14:textId="77777777" w:rsidR="00A97450" w:rsidRPr="00A97450" w:rsidRDefault="00A97450" w:rsidP="00A97450">
            <w:pPr>
              <w:jc w:val="left"/>
              <w:rPr>
                <w:rFonts w:ascii="Calibri" w:hAnsi="Calibri" w:cs="Calibri"/>
                <w:sz w:val="20"/>
              </w:rPr>
            </w:pPr>
            <w:r w:rsidRPr="00A97450">
              <w:rPr>
                <w:rFonts w:ascii="Calibri" w:hAnsi="Calibri" w:cs="Calibri"/>
                <w:sz w:val="20"/>
              </w:rPr>
              <w:t>Règles françaises</w:t>
            </w:r>
          </w:p>
        </w:tc>
        <w:tc>
          <w:tcPr>
            <w:tcW w:w="0" w:type="auto"/>
            <w:hideMark/>
          </w:tcPr>
          <w:p w14:paraId="73D0FC95" w14:textId="77777777" w:rsidR="00A97450" w:rsidRPr="00A97450" w:rsidRDefault="00A97450" w:rsidP="00A97450">
            <w:pPr>
              <w:jc w:val="left"/>
              <w:rPr>
                <w:rFonts w:ascii="Calibri" w:hAnsi="Calibri" w:cs="Calibri"/>
                <w:sz w:val="20"/>
              </w:rPr>
            </w:pPr>
            <w:r w:rsidRPr="00A97450">
              <w:rPr>
                <w:rFonts w:ascii="Calibri" w:hAnsi="Calibri" w:cs="Calibri"/>
                <w:sz w:val="20"/>
              </w:rPr>
              <w:t>IFRS Accounting Standards</w:t>
            </w:r>
          </w:p>
        </w:tc>
      </w:tr>
    </w:tbl>
    <w:p w14:paraId="7346A616" w14:textId="77777777" w:rsidR="00A97450" w:rsidRPr="00A97450" w:rsidRDefault="00A97450" w:rsidP="00A97450">
      <w:pPr>
        <w:spacing w:after="0" w:line="240" w:lineRule="auto"/>
      </w:pPr>
      <w:r w:rsidRPr="00A97450">
        <w:pict w14:anchorId="5440B394">
          <v:rect id="_x0000_i3325" style="width:0;height:1.5pt" o:hralign="center" o:hrstd="t" o:hr="t" fillcolor="#a0a0a0" stroked="f"/>
        </w:pict>
      </w:r>
    </w:p>
    <w:p w14:paraId="785E9D43" w14:textId="77777777" w:rsidR="00A97450" w:rsidRPr="00A97450" w:rsidRDefault="00A97450" w:rsidP="00A97450">
      <w:pPr>
        <w:pStyle w:val="Titre1"/>
      </w:pPr>
      <w:r w:rsidRPr="00A97450">
        <w:t>28. La normalisation comptable publique</w:t>
      </w:r>
    </w:p>
    <w:p w14:paraId="60C41C88" w14:textId="77777777" w:rsidR="00A97450" w:rsidRPr="00A97450" w:rsidRDefault="00A97450" w:rsidP="00A97450">
      <w:pPr>
        <w:spacing w:after="0" w:line="240" w:lineRule="auto"/>
      </w:pPr>
      <w:r w:rsidRPr="00A97450">
        <w:t>La normalisation ne concerne pas uniquement les entreprises privées.</w:t>
      </w:r>
    </w:p>
    <w:p w14:paraId="5E877DB9" w14:textId="77777777" w:rsidR="00A97450" w:rsidRPr="00A97450" w:rsidRDefault="00A97450" w:rsidP="00A97450">
      <w:pPr>
        <w:spacing w:after="0" w:line="240" w:lineRule="auto"/>
      </w:pPr>
      <w:r w:rsidRPr="00A97450">
        <w:t>Les personnes publiques disposent également de référentiels adaptés à leurs caractéristiques.</w:t>
      </w:r>
    </w:p>
    <w:p w14:paraId="0EEF06C4" w14:textId="77777777" w:rsidR="00A97450" w:rsidRPr="00A97450" w:rsidRDefault="00A97450" w:rsidP="00A97450">
      <w:pPr>
        <w:spacing w:after="0" w:line="240" w:lineRule="auto"/>
      </w:pPr>
      <w:r w:rsidRPr="00A97450">
        <w:t xml:space="preserve">Le fichier source présentait notamment le </w:t>
      </w:r>
      <w:r w:rsidRPr="00A97450">
        <w:rPr>
          <w:b/>
          <w:bCs/>
        </w:rPr>
        <w:t>référentiel M57</w:t>
      </w:r>
      <w:r w:rsidRPr="00A97450">
        <w:t>.</w:t>
      </w:r>
    </w:p>
    <w:p w14:paraId="02E3378B" w14:textId="77777777" w:rsidR="00A97450" w:rsidRPr="00A97450" w:rsidRDefault="00A97450" w:rsidP="00A97450">
      <w:pPr>
        <w:spacing w:after="0" w:line="240" w:lineRule="auto"/>
      </w:pPr>
      <w:r w:rsidRPr="00A97450">
        <w:t xml:space="preserve">En 2026, une version actualisée de l’instruction budgétaire et comptable </w:t>
      </w:r>
      <w:r w:rsidRPr="00A97450">
        <w:rPr>
          <w:b/>
          <w:bCs/>
        </w:rPr>
        <w:t>M57</w:t>
      </w:r>
      <w:r w:rsidRPr="00A97450">
        <w:t xml:space="preserve"> est applicable aux collectivités territoriales, à leurs groupements et aux établissements publics entrant dans son champ. L’instruction 2026 résulte notamment de l’arrêté du 30 décembre 2025.</w:t>
      </w:r>
    </w:p>
    <w:p w14:paraId="61D674A9" w14:textId="53224E1E" w:rsidR="00A97450" w:rsidRPr="00A97450" w:rsidRDefault="00A97450" w:rsidP="00A97450">
      <w:pPr>
        <w:spacing w:after="0" w:line="240" w:lineRule="auto"/>
        <w:rPr>
          <w:b/>
          <w:bCs/>
        </w:rPr>
      </w:pPr>
      <w:r w:rsidRPr="00A97450">
        <w:rPr>
          <w:b/>
          <w:bCs/>
        </w:rPr>
        <w:t>Pourquoi des règles spécifiques</w:t>
      </w:r>
      <w:r>
        <w:rPr>
          <w:b/>
          <w:bCs/>
        </w:rPr>
        <w:t> ?</w:t>
      </w:r>
    </w:p>
    <w:p w14:paraId="7B4654D4" w14:textId="5BF6660F" w:rsidR="00A97450" w:rsidRPr="00A97450" w:rsidRDefault="00A97450" w:rsidP="00A97450">
      <w:pPr>
        <w:spacing w:after="0" w:line="240" w:lineRule="auto"/>
      </w:pPr>
      <w:r w:rsidRPr="00A97450">
        <w:t>La comptabilité publique doit notamment permettre</w:t>
      </w:r>
      <w:r>
        <w:t> :</w:t>
      </w:r>
    </w:p>
    <w:p w14:paraId="54314D43" w14:textId="7738842B" w:rsidR="00A97450" w:rsidRPr="00A97450" w:rsidRDefault="00A97450">
      <w:pPr>
        <w:numPr>
          <w:ilvl w:val="0"/>
          <w:numId w:val="31"/>
        </w:numPr>
        <w:spacing w:after="0" w:line="240" w:lineRule="auto"/>
      </w:pPr>
      <w:r w:rsidRPr="00A97450">
        <w:t>le suivi des ressources publiques</w:t>
      </w:r>
      <w:r>
        <w:t> ;</w:t>
      </w:r>
    </w:p>
    <w:p w14:paraId="026DF41C" w14:textId="247745BE" w:rsidR="00A97450" w:rsidRPr="00A97450" w:rsidRDefault="00A97450">
      <w:pPr>
        <w:numPr>
          <w:ilvl w:val="0"/>
          <w:numId w:val="31"/>
        </w:numPr>
        <w:spacing w:after="0" w:line="240" w:lineRule="auto"/>
      </w:pPr>
      <w:r w:rsidRPr="00A97450">
        <w:t>le contrôle budgétaire</w:t>
      </w:r>
      <w:r>
        <w:t> ;</w:t>
      </w:r>
    </w:p>
    <w:p w14:paraId="4F3A97CF" w14:textId="455A8DD0" w:rsidR="00A97450" w:rsidRPr="00A97450" w:rsidRDefault="00A97450">
      <w:pPr>
        <w:numPr>
          <w:ilvl w:val="0"/>
          <w:numId w:val="31"/>
        </w:numPr>
        <w:spacing w:after="0" w:line="240" w:lineRule="auto"/>
      </w:pPr>
      <w:r w:rsidRPr="00A97450">
        <w:t>la transparence</w:t>
      </w:r>
      <w:r>
        <w:t> ;</w:t>
      </w:r>
    </w:p>
    <w:p w14:paraId="15DEBE8A" w14:textId="02353C2D" w:rsidR="00A97450" w:rsidRPr="00A97450" w:rsidRDefault="00A97450">
      <w:pPr>
        <w:numPr>
          <w:ilvl w:val="0"/>
          <w:numId w:val="31"/>
        </w:numPr>
        <w:spacing w:after="0" w:line="240" w:lineRule="auto"/>
      </w:pPr>
      <w:r w:rsidRPr="00A97450">
        <w:t>la reddition des comptes</w:t>
      </w:r>
      <w:r>
        <w:t> ;</w:t>
      </w:r>
    </w:p>
    <w:p w14:paraId="1D40728D" w14:textId="77777777" w:rsidR="00A97450" w:rsidRPr="00A97450" w:rsidRDefault="00A97450">
      <w:pPr>
        <w:numPr>
          <w:ilvl w:val="0"/>
          <w:numId w:val="31"/>
        </w:numPr>
        <w:spacing w:after="0" w:line="240" w:lineRule="auto"/>
      </w:pPr>
      <w:r w:rsidRPr="00A97450">
        <w:t>l’information des citoyens et des organes de contrôle.</w:t>
      </w:r>
    </w:p>
    <w:p w14:paraId="4C774A76" w14:textId="77777777" w:rsidR="00A97450" w:rsidRPr="00A97450" w:rsidRDefault="00A97450" w:rsidP="00A97450">
      <w:pPr>
        <w:spacing w:after="0" w:line="240" w:lineRule="auto"/>
      </w:pPr>
      <w:r w:rsidRPr="00A97450">
        <w:pict w14:anchorId="5136211C">
          <v:rect id="_x0000_i3326" style="width:0;height:1.5pt" o:hralign="center" o:hrstd="t" o:hr="t" fillcolor="#a0a0a0" stroked="f"/>
        </w:pict>
      </w:r>
    </w:p>
    <w:p w14:paraId="17707666" w14:textId="77777777" w:rsidR="00A97450" w:rsidRPr="00A97450" w:rsidRDefault="00A97450" w:rsidP="00A97450">
      <w:pPr>
        <w:pStyle w:val="Titre1"/>
      </w:pPr>
      <w:r w:rsidRPr="00A97450">
        <w:t>29. Les normalisations sectorielles</w:t>
      </w:r>
    </w:p>
    <w:p w14:paraId="507ADF40" w14:textId="77777777" w:rsidR="00A97450" w:rsidRPr="00A97450" w:rsidRDefault="00A97450" w:rsidP="00A97450">
      <w:pPr>
        <w:spacing w:after="0" w:line="240" w:lineRule="auto"/>
      </w:pPr>
      <w:r w:rsidRPr="00A97450">
        <w:t>Certaines activités ou catégories d’entités présentent des particularités nécessitant des règles spécifiques.</w:t>
      </w:r>
    </w:p>
    <w:p w14:paraId="14D37CEF" w14:textId="77777777" w:rsidR="00A97450" w:rsidRPr="00A97450" w:rsidRDefault="00A97450" w:rsidP="00A97450">
      <w:pPr>
        <w:spacing w:after="0" w:line="240" w:lineRule="auto"/>
      </w:pPr>
      <w:r w:rsidRPr="00A97450">
        <w:t xml:space="preserve">L’ANC adopte donc également des </w:t>
      </w:r>
      <w:r w:rsidRPr="00A97450">
        <w:rPr>
          <w:b/>
          <w:bCs/>
        </w:rPr>
        <w:t>prescriptions comptables sectorielles</w:t>
      </w:r>
      <w:r w:rsidRPr="00A97450">
        <w:t>.</w:t>
      </w:r>
    </w:p>
    <w:p w14:paraId="106C98C5" w14:textId="662AA6C0" w:rsidR="00A97450" w:rsidRPr="00A97450" w:rsidRDefault="00A97450" w:rsidP="00A97450">
      <w:pPr>
        <w:spacing w:after="0" w:line="240" w:lineRule="auto"/>
      </w:pPr>
      <w:r w:rsidRPr="00A97450">
        <w:t>Cela concerne notamment, selon les réglementations applicables</w:t>
      </w:r>
      <w:r>
        <w:t> :</w:t>
      </w:r>
    </w:p>
    <w:p w14:paraId="312D7D08" w14:textId="1E37DA91" w:rsidR="00A97450" w:rsidRPr="00A97450" w:rsidRDefault="00A97450">
      <w:pPr>
        <w:numPr>
          <w:ilvl w:val="0"/>
          <w:numId w:val="32"/>
        </w:numPr>
        <w:spacing w:after="0" w:line="240" w:lineRule="auto"/>
      </w:pPr>
      <w:r w:rsidRPr="00A97450">
        <w:t>certains organismes du secteur financier</w:t>
      </w:r>
      <w:r>
        <w:t> ;</w:t>
      </w:r>
    </w:p>
    <w:p w14:paraId="39226FFA" w14:textId="2FD43CE9" w:rsidR="00A97450" w:rsidRPr="00A97450" w:rsidRDefault="00A97450">
      <w:pPr>
        <w:numPr>
          <w:ilvl w:val="0"/>
          <w:numId w:val="32"/>
        </w:numPr>
        <w:spacing w:after="0" w:line="240" w:lineRule="auto"/>
      </w:pPr>
      <w:r w:rsidRPr="00A97450">
        <w:t>les organismes d’assurance</w:t>
      </w:r>
      <w:r>
        <w:t> ;</w:t>
      </w:r>
    </w:p>
    <w:p w14:paraId="792E9C03" w14:textId="102B28A4" w:rsidR="00A97450" w:rsidRPr="00A97450" w:rsidRDefault="00A97450">
      <w:pPr>
        <w:numPr>
          <w:ilvl w:val="0"/>
          <w:numId w:val="32"/>
        </w:numPr>
        <w:spacing w:after="0" w:line="240" w:lineRule="auto"/>
      </w:pPr>
      <w:r w:rsidRPr="00A97450">
        <w:t>les organismes non lucratifs</w:t>
      </w:r>
      <w:r>
        <w:t> ;</w:t>
      </w:r>
    </w:p>
    <w:p w14:paraId="0C242943" w14:textId="77777777" w:rsidR="00A97450" w:rsidRPr="00A97450" w:rsidRDefault="00A97450">
      <w:pPr>
        <w:numPr>
          <w:ilvl w:val="0"/>
          <w:numId w:val="32"/>
        </w:numPr>
        <w:spacing w:after="0" w:line="240" w:lineRule="auto"/>
      </w:pPr>
      <w:r w:rsidRPr="00A97450">
        <w:t>certaines activités ou professions disposant de règles comptables particulières.</w:t>
      </w:r>
    </w:p>
    <w:p w14:paraId="624FA0B7" w14:textId="36EED41F" w:rsidR="00A97450" w:rsidRPr="00A97450" w:rsidRDefault="00A97450" w:rsidP="00A97450">
      <w:pPr>
        <w:spacing w:after="0" w:line="240" w:lineRule="auto"/>
        <w:rPr>
          <w:b/>
          <w:bCs/>
        </w:rPr>
      </w:pPr>
      <w:r w:rsidRPr="00A97450">
        <w:rPr>
          <w:b/>
          <w:bCs/>
        </w:rPr>
        <w:t>Exemple</w:t>
      </w:r>
      <w:r>
        <w:rPr>
          <w:b/>
          <w:bCs/>
        </w:rPr>
        <w:t> :</w:t>
      </w:r>
      <w:r w:rsidRPr="00A97450">
        <w:rPr>
          <w:b/>
          <w:bCs/>
        </w:rPr>
        <w:t xml:space="preserve"> secteur non lucratif</w:t>
      </w:r>
    </w:p>
    <w:p w14:paraId="23D58139" w14:textId="6928FFC1" w:rsidR="00A97450" w:rsidRPr="00A97450" w:rsidRDefault="00A97450" w:rsidP="00A97450">
      <w:pPr>
        <w:spacing w:after="0" w:line="240" w:lineRule="auto"/>
      </w:pPr>
      <w:r w:rsidRPr="00A97450">
        <w:t>Le règlement ANC n° 2018-06 concerne les comptes annuels des personnes morales de droit privé à but non lucratif</w:t>
      </w:r>
      <w:r>
        <w:t> ;</w:t>
      </w:r>
      <w:r w:rsidRPr="00A97450">
        <w:t xml:space="preserve"> il a été complété et modifié par plusieurs règlements ultérieurs.</w:t>
      </w:r>
    </w:p>
    <w:p w14:paraId="50CB1B08" w14:textId="77777777" w:rsidR="00A97450" w:rsidRPr="00A97450" w:rsidRDefault="00A97450" w:rsidP="00A97450">
      <w:pPr>
        <w:spacing w:after="0" w:line="240" w:lineRule="auto"/>
        <w:rPr>
          <w:b/>
          <w:bCs/>
        </w:rPr>
      </w:pPr>
      <w:r w:rsidRPr="00A97450">
        <w:rPr>
          <w:b/>
          <w:bCs/>
        </w:rPr>
        <w:t>Principe</w:t>
      </w:r>
    </w:p>
    <w:p w14:paraId="1AD8EC02" w14:textId="77777777" w:rsidR="00A97450" w:rsidRPr="00A97450" w:rsidRDefault="00A97450" w:rsidP="00A97450">
      <w:pPr>
        <w:spacing w:after="0" w:line="240" w:lineRule="auto"/>
      </w:pPr>
      <w:r w:rsidRPr="00A97450">
        <w:t>Les règles sectorielles ne signifient pas qu’il existe une comptabilité totalement indépendante du cadre général.</w:t>
      </w:r>
    </w:p>
    <w:p w14:paraId="0EE2C400" w14:textId="77777777" w:rsidR="00A97450" w:rsidRPr="00A97450" w:rsidRDefault="00A97450" w:rsidP="00A97450">
      <w:pPr>
        <w:spacing w:after="0" w:line="240" w:lineRule="auto"/>
      </w:pPr>
      <w:r w:rsidRPr="00A97450">
        <w:t xml:space="preserve">Elles permettent </w:t>
      </w:r>
      <w:r w:rsidRPr="00A97450">
        <w:rPr>
          <w:b/>
          <w:bCs/>
        </w:rPr>
        <w:t>d’adapter ou compléter les règles générales aux particularités de certaines entités</w:t>
      </w:r>
      <w:r w:rsidRPr="00A97450">
        <w:t>.</w:t>
      </w:r>
    </w:p>
    <w:p w14:paraId="2C85DB1D" w14:textId="77777777" w:rsidR="00A97450" w:rsidRPr="00A97450" w:rsidRDefault="00A97450" w:rsidP="00A97450">
      <w:pPr>
        <w:spacing w:after="0" w:line="240" w:lineRule="auto"/>
      </w:pPr>
      <w:r w:rsidRPr="00A97450">
        <w:pict w14:anchorId="24A1220A">
          <v:rect id="_x0000_i3327" style="width:0;height:1.5pt" o:hralign="center" o:hrstd="t" o:hr="t" fillcolor="#a0a0a0" stroked="f"/>
        </w:pict>
      </w:r>
    </w:p>
    <w:p w14:paraId="2633BA55" w14:textId="77777777" w:rsidR="00A97450" w:rsidRPr="00A97450" w:rsidRDefault="00A97450" w:rsidP="00A97450">
      <w:pPr>
        <w:pStyle w:val="Titre1"/>
      </w:pPr>
      <w:r w:rsidRPr="00A97450">
        <w:t>30. La permanence des méthodes et les changements comptables</w:t>
      </w:r>
    </w:p>
    <w:p w14:paraId="29801DB5" w14:textId="77777777" w:rsidR="00A97450" w:rsidRPr="00A97450" w:rsidRDefault="00A97450" w:rsidP="00A97450">
      <w:pPr>
        <w:spacing w:after="0" w:line="240" w:lineRule="auto"/>
      </w:pPr>
      <w:r w:rsidRPr="00A97450">
        <w:t>Le fichier source consacrait une fiche entière à cette question.</w:t>
      </w:r>
    </w:p>
    <w:p w14:paraId="33005F87" w14:textId="26B08C40" w:rsidR="00A97450" w:rsidRPr="00A97450" w:rsidRDefault="00A97450" w:rsidP="00A97450">
      <w:pPr>
        <w:spacing w:after="0" w:line="240" w:lineRule="auto"/>
      </w:pPr>
      <w:r w:rsidRPr="00A97450">
        <w:t>Elle doit être intégrée ici car elle constitue la conséquence directe</w:t>
      </w:r>
      <w:r>
        <w:t> :</w:t>
      </w:r>
    </w:p>
    <w:p w14:paraId="305D8F6B" w14:textId="4370E5EA" w:rsidR="00A97450" w:rsidRPr="00A97450" w:rsidRDefault="00A97450">
      <w:pPr>
        <w:numPr>
          <w:ilvl w:val="0"/>
          <w:numId w:val="33"/>
        </w:numPr>
        <w:spacing w:after="0" w:line="240" w:lineRule="auto"/>
      </w:pPr>
      <w:r w:rsidRPr="00A97450">
        <w:t>du principe de permanence</w:t>
      </w:r>
      <w:r>
        <w:t> ;</w:t>
      </w:r>
    </w:p>
    <w:p w14:paraId="1053B964" w14:textId="41F48F43" w:rsidR="00A97450" w:rsidRPr="00A97450" w:rsidRDefault="00A97450">
      <w:pPr>
        <w:numPr>
          <w:ilvl w:val="0"/>
          <w:numId w:val="33"/>
        </w:numPr>
        <w:spacing w:after="0" w:line="240" w:lineRule="auto"/>
      </w:pPr>
      <w:r w:rsidRPr="00A97450">
        <w:lastRenderedPageBreak/>
        <w:t>de l’objectif de comparabilité</w:t>
      </w:r>
      <w:r>
        <w:t> ;</w:t>
      </w:r>
    </w:p>
    <w:p w14:paraId="76FBE9AC" w14:textId="77777777" w:rsidR="00A97450" w:rsidRPr="00A97450" w:rsidRDefault="00A97450">
      <w:pPr>
        <w:numPr>
          <w:ilvl w:val="0"/>
          <w:numId w:val="33"/>
        </w:numPr>
        <w:spacing w:after="0" w:line="240" w:lineRule="auto"/>
      </w:pPr>
      <w:r w:rsidRPr="00A97450">
        <w:t>de la nécessité de conserver une information cohérente.</w:t>
      </w:r>
    </w:p>
    <w:p w14:paraId="39405C1A" w14:textId="731132DD" w:rsidR="00A97450" w:rsidRPr="00A97450" w:rsidRDefault="00A97450" w:rsidP="00A97450">
      <w:pPr>
        <w:spacing w:after="0" w:line="240" w:lineRule="auto"/>
      </w:pPr>
      <w:r w:rsidRPr="00A97450">
        <w:t>Le PCG 2026 distingue clairement</w:t>
      </w:r>
      <w:r>
        <w:t> :</w:t>
      </w:r>
    </w:p>
    <w:p w14:paraId="751A2B95" w14:textId="5D0531B6" w:rsidR="00A97450" w:rsidRPr="00A97450" w:rsidRDefault="00A97450">
      <w:pPr>
        <w:numPr>
          <w:ilvl w:val="0"/>
          <w:numId w:val="34"/>
        </w:numPr>
        <w:spacing w:after="0" w:line="240" w:lineRule="auto"/>
      </w:pPr>
      <w:r w:rsidRPr="00A97450">
        <w:rPr>
          <w:b/>
          <w:bCs/>
        </w:rPr>
        <w:t>changement de méthode comptable</w:t>
      </w:r>
      <w:r>
        <w:t> ;</w:t>
      </w:r>
    </w:p>
    <w:p w14:paraId="0806E0AE" w14:textId="5F790CCE" w:rsidR="00A97450" w:rsidRPr="00A97450" w:rsidRDefault="00A97450">
      <w:pPr>
        <w:numPr>
          <w:ilvl w:val="0"/>
          <w:numId w:val="34"/>
        </w:numPr>
        <w:spacing w:after="0" w:line="240" w:lineRule="auto"/>
      </w:pPr>
      <w:r w:rsidRPr="00A97450">
        <w:rPr>
          <w:b/>
          <w:bCs/>
        </w:rPr>
        <w:t>changement d’estimation</w:t>
      </w:r>
      <w:r>
        <w:t> ;</w:t>
      </w:r>
    </w:p>
    <w:p w14:paraId="0AE615E8" w14:textId="77777777" w:rsidR="00A97450" w:rsidRPr="00A97450" w:rsidRDefault="00A97450">
      <w:pPr>
        <w:numPr>
          <w:ilvl w:val="0"/>
          <w:numId w:val="34"/>
        </w:numPr>
        <w:spacing w:after="0" w:line="240" w:lineRule="auto"/>
      </w:pPr>
      <w:r w:rsidRPr="00A97450">
        <w:rPr>
          <w:b/>
          <w:bCs/>
        </w:rPr>
        <w:t>correction d’erreur</w:t>
      </w:r>
      <w:r w:rsidRPr="00A97450">
        <w:t>.</w:t>
      </w:r>
    </w:p>
    <w:p w14:paraId="37E31C94" w14:textId="77777777" w:rsidR="00A97450" w:rsidRPr="00A97450" w:rsidRDefault="00A97450" w:rsidP="00A97450">
      <w:pPr>
        <w:spacing w:after="0" w:line="240" w:lineRule="auto"/>
      </w:pPr>
      <w:r w:rsidRPr="00A97450">
        <w:pict w14:anchorId="54A39E91">
          <v:rect id="_x0000_i3328" style="width:0;height:1.5pt" o:hralign="center" o:hrstd="t" o:hr="t" fillcolor="#a0a0a0" stroked="f"/>
        </w:pict>
      </w:r>
    </w:p>
    <w:p w14:paraId="1ECC358E" w14:textId="77777777" w:rsidR="00A97450" w:rsidRPr="00A97450" w:rsidRDefault="00A97450" w:rsidP="00A97450">
      <w:pPr>
        <w:pStyle w:val="Titre1"/>
      </w:pPr>
      <w:r w:rsidRPr="00A97450">
        <w:t>31. Le changement de méthode comptable</w:t>
      </w:r>
    </w:p>
    <w:p w14:paraId="1B2F4F9F" w14:textId="77777777" w:rsidR="00A97450" w:rsidRPr="00A97450" w:rsidRDefault="00A97450" w:rsidP="00A97450">
      <w:pPr>
        <w:spacing w:after="0" w:line="240" w:lineRule="auto"/>
      </w:pPr>
      <w:r w:rsidRPr="00A97450">
        <w:t>Une méthode comptable correspond aux principes, règles et pratiques spécifiques utilisés par l’entité pour établir ses comptes.</w:t>
      </w:r>
    </w:p>
    <w:p w14:paraId="010E41BC" w14:textId="2A828362" w:rsidR="00A97450" w:rsidRPr="00A97450" w:rsidRDefault="00A97450" w:rsidP="00A97450">
      <w:pPr>
        <w:spacing w:after="0" w:line="240" w:lineRule="auto"/>
      </w:pPr>
      <w:r w:rsidRPr="00A97450">
        <w:t>Elle peut concerner</w:t>
      </w:r>
      <w:r>
        <w:t> :</w:t>
      </w:r>
    </w:p>
    <w:p w14:paraId="1AFC7AE7" w14:textId="42979BFB" w:rsidR="00A97450" w:rsidRPr="00A97450" w:rsidRDefault="00A97450">
      <w:pPr>
        <w:numPr>
          <w:ilvl w:val="0"/>
          <w:numId w:val="35"/>
        </w:numPr>
        <w:spacing w:after="0" w:line="240" w:lineRule="auto"/>
      </w:pPr>
      <w:r w:rsidRPr="00A97450">
        <w:t>l’évaluation</w:t>
      </w:r>
      <w:r>
        <w:t> ;</w:t>
      </w:r>
    </w:p>
    <w:p w14:paraId="6303ACD6" w14:textId="55622767" w:rsidR="00A97450" w:rsidRPr="00A97450" w:rsidRDefault="00A97450">
      <w:pPr>
        <w:numPr>
          <w:ilvl w:val="0"/>
          <w:numId w:val="35"/>
        </w:numPr>
        <w:spacing w:after="0" w:line="240" w:lineRule="auto"/>
      </w:pPr>
      <w:r w:rsidRPr="00A97450">
        <w:t>la comptabilisation</w:t>
      </w:r>
      <w:r>
        <w:t> ;</w:t>
      </w:r>
    </w:p>
    <w:p w14:paraId="1F0A6692" w14:textId="77777777" w:rsidR="00A97450" w:rsidRPr="00A97450" w:rsidRDefault="00A97450">
      <w:pPr>
        <w:numPr>
          <w:ilvl w:val="0"/>
          <w:numId w:val="35"/>
        </w:numPr>
        <w:spacing w:after="0" w:line="240" w:lineRule="auto"/>
      </w:pPr>
      <w:r w:rsidRPr="00A97450">
        <w:t>la présentation des comptes.</w:t>
      </w:r>
    </w:p>
    <w:p w14:paraId="6D0DC282" w14:textId="77777777" w:rsidR="00A97450" w:rsidRPr="00A97450" w:rsidRDefault="00A97450" w:rsidP="00A97450">
      <w:pPr>
        <w:spacing w:after="0" w:line="240" w:lineRule="auto"/>
        <w:rPr>
          <w:b/>
          <w:bCs/>
        </w:rPr>
      </w:pPr>
      <w:r w:rsidRPr="00A97450">
        <w:rPr>
          <w:b/>
          <w:bCs/>
        </w:rPr>
        <w:t>Un changement peut résulter</w:t>
      </w:r>
    </w:p>
    <w:p w14:paraId="43EBDC67" w14:textId="77777777" w:rsidR="00A97450" w:rsidRPr="00A97450" w:rsidRDefault="00A97450" w:rsidP="00A97450">
      <w:pPr>
        <w:spacing w:after="0" w:line="240" w:lineRule="auto"/>
        <w:rPr>
          <w:b/>
          <w:bCs/>
        </w:rPr>
      </w:pPr>
      <w:r w:rsidRPr="00A97450">
        <w:rPr>
          <w:b/>
          <w:bCs/>
        </w:rPr>
        <w:t>D’un changement de réglementation</w:t>
      </w:r>
    </w:p>
    <w:p w14:paraId="4A7339E7" w14:textId="77777777" w:rsidR="00A97450" w:rsidRPr="00A97450" w:rsidRDefault="00A97450" w:rsidP="00A97450">
      <w:pPr>
        <w:spacing w:after="0" w:line="240" w:lineRule="auto"/>
      </w:pPr>
      <w:r w:rsidRPr="00A97450">
        <w:t>La nouvelle réglementation s’impose à l’entité.</w:t>
      </w:r>
    </w:p>
    <w:p w14:paraId="41812EA1" w14:textId="77777777" w:rsidR="00A97450" w:rsidRPr="00A97450" w:rsidRDefault="00A97450" w:rsidP="00A97450">
      <w:pPr>
        <w:spacing w:after="0" w:line="240" w:lineRule="auto"/>
        <w:rPr>
          <w:b/>
          <w:bCs/>
        </w:rPr>
      </w:pPr>
      <w:r w:rsidRPr="00A97450">
        <w:rPr>
          <w:b/>
          <w:bCs/>
        </w:rPr>
        <w:t>D’un changement décidé par l’entité</w:t>
      </w:r>
    </w:p>
    <w:p w14:paraId="13E6BCEB" w14:textId="02932181" w:rsidR="00A97450" w:rsidRPr="00A97450" w:rsidRDefault="00A97450" w:rsidP="00A97450">
      <w:pPr>
        <w:spacing w:after="0" w:line="240" w:lineRule="auto"/>
      </w:pPr>
      <w:r w:rsidRPr="00A97450">
        <w:t>Il n’est possible que lorsque</w:t>
      </w:r>
      <w:r>
        <w:t> :</w:t>
      </w:r>
    </w:p>
    <w:p w14:paraId="15EA4277" w14:textId="42A70749" w:rsidR="00A97450" w:rsidRPr="00A97450" w:rsidRDefault="00A97450">
      <w:pPr>
        <w:numPr>
          <w:ilvl w:val="0"/>
          <w:numId w:val="36"/>
        </w:numPr>
        <w:spacing w:after="0" w:line="240" w:lineRule="auto"/>
      </w:pPr>
      <w:r w:rsidRPr="00A97450">
        <w:t>plusieurs méthodes conformes sont possibles</w:t>
      </w:r>
      <w:r>
        <w:t> ;</w:t>
      </w:r>
    </w:p>
    <w:p w14:paraId="57048075" w14:textId="77777777" w:rsidR="00A97450" w:rsidRPr="00A97450" w:rsidRDefault="00A97450">
      <w:pPr>
        <w:numPr>
          <w:ilvl w:val="0"/>
          <w:numId w:val="36"/>
        </w:numPr>
        <w:spacing w:after="0" w:line="240" w:lineRule="auto"/>
      </w:pPr>
      <w:r w:rsidRPr="00A97450">
        <w:t xml:space="preserve">la nouvelle méthode fournit une </w:t>
      </w:r>
      <w:r w:rsidRPr="00A97450">
        <w:rPr>
          <w:b/>
          <w:bCs/>
        </w:rPr>
        <w:t>meilleure information financière</w:t>
      </w:r>
      <w:r w:rsidRPr="00A97450">
        <w:t>.</w:t>
      </w:r>
    </w:p>
    <w:p w14:paraId="62C0EF4E" w14:textId="77777777" w:rsidR="00A97450" w:rsidRPr="00A97450" w:rsidRDefault="00A97450" w:rsidP="00A97450">
      <w:pPr>
        <w:spacing w:after="0" w:line="240" w:lineRule="auto"/>
        <w:rPr>
          <w:b/>
          <w:bCs/>
        </w:rPr>
      </w:pPr>
      <w:r w:rsidRPr="00A97450">
        <w:rPr>
          <w:b/>
          <w:bCs/>
        </w:rPr>
        <w:t>Traitement</w:t>
      </w:r>
    </w:p>
    <w:p w14:paraId="1EA96545" w14:textId="77777777" w:rsidR="00A97450" w:rsidRPr="00A97450" w:rsidRDefault="00A97450" w:rsidP="00A97450">
      <w:pPr>
        <w:spacing w:after="0" w:line="240" w:lineRule="auto"/>
      </w:pPr>
      <w:r w:rsidRPr="00A97450">
        <w:t xml:space="preserve">Le changement de méthode est normalement traité </w:t>
      </w:r>
      <w:r w:rsidRPr="00A97450">
        <w:rPr>
          <w:b/>
          <w:bCs/>
        </w:rPr>
        <w:t>rétrospectivement</w:t>
      </w:r>
      <w:r w:rsidRPr="00A97450">
        <w:t>, comme si la nouvelle méthode avait toujours été appliquée.</w:t>
      </w:r>
    </w:p>
    <w:p w14:paraId="639ECB0D" w14:textId="77777777" w:rsidR="00A97450" w:rsidRPr="00A97450" w:rsidRDefault="00A97450" w:rsidP="00A97450">
      <w:pPr>
        <w:spacing w:after="0" w:line="240" w:lineRule="auto"/>
      </w:pPr>
      <w:r w:rsidRPr="00A97450">
        <w:t>Lorsque le calcul rétrospectif ne peut être effectué objectivement, le PCG prévoit une application prospective.</w:t>
      </w:r>
    </w:p>
    <w:p w14:paraId="5DE09A65" w14:textId="77777777" w:rsidR="00A97450" w:rsidRPr="00A97450" w:rsidRDefault="00A97450" w:rsidP="00A97450">
      <w:pPr>
        <w:spacing w:after="0" w:line="240" w:lineRule="auto"/>
      </w:pPr>
      <w:r w:rsidRPr="00A97450">
        <w:pict w14:anchorId="2406FEB6">
          <v:rect id="_x0000_i3329" style="width:0;height:1.5pt" o:hralign="center" o:hrstd="t" o:hr="t" fillcolor="#a0a0a0" stroked="f"/>
        </w:pict>
      </w:r>
    </w:p>
    <w:p w14:paraId="0C900B62" w14:textId="77777777" w:rsidR="00A97450" w:rsidRPr="00A97450" w:rsidRDefault="00A97450" w:rsidP="00A97450">
      <w:pPr>
        <w:pStyle w:val="Titre1"/>
      </w:pPr>
      <w:r w:rsidRPr="00A97450">
        <w:t>32. Les méthodes de référence</w:t>
      </w:r>
    </w:p>
    <w:p w14:paraId="0D11574B" w14:textId="77777777" w:rsidR="00A97450" w:rsidRPr="00A97450" w:rsidRDefault="00A97450" w:rsidP="00A97450">
      <w:pPr>
        <w:spacing w:after="0" w:line="240" w:lineRule="auto"/>
      </w:pPr>
      <w:r w:rsidRPr="00A97450">
        <w:t xml:space="preserve">Le PCG qualifie certaines méthodes de </w:t>
      </w:r>
      <w:r w:rsidRPr="00A97450">
        <w:rPr>
          <w:b/>
          <w:bCs/>
        </w:rPr>
        <w:t>méthodes de référence</w:t>
      </w:r>
      <w:r w:rsidRPr="00A97450">
        <w:t xml:space="preserve"> parce qu’elles sont considérées comme conduisant à une meilleure information.</w:t>
      </w:r>
    </w:p>
    <w:p w14:paraId="6D4E7D8F" w14:textId="78B24497" w:rsidR="00A97450" w:rsidRPr="00A97450" w:rsidRDefault="00A97450" w:rsidP="00A97450">
      <w:pPr>
        <w:spacing w:after="0" w:line="240" w:lineRule="auto"/>
      </w:pPr>
      <w:r w:rsidRPr="00A97450">
        <w:t>La version 2026 cite notamment</w:t>
      </w:r>
      <w:r>
        <w:t> :</w:t>
      </w:r>
    </w:p>
    <w:p w14:paraId="7733C252" w14:textId="57838DAE" w:rsidR="00A97450" w:rsidRPr="00A97450" w:rsidRDefault="00A97450">
      <w:pPr>
        <w:numPr>
          <w:ilvl w:val="0"/>
          <w:numId w:val="37"/>
        </w:numPr>
        <w:spacing w:after="0" w:line="240" w:lineRule="auto"/>
      </w:pPr>
      <w:r w:rsidRPr="00A97450">
        <w:t>le provisionnement de certains engagements de retraite</w:t>
      </w:r>
      <w:r>
        <w:t> ;</w:t>
      </w:r>
    </w:p>
    <w:p w14:paraId="17B2A8DF" w14:textId="4B332AD2" w:rsidR="00A97450" w:rsidRPr="00A97450" w:rsidRDefault="00A97450">
      <w:pPr>
        <w:numPr>
          <w:ilvl w:val="0"/>
          <w:numId w:val="37"/>
        </w:numPr>
        <w:spacing w:after="0" w:line="240" w:lineRule="auto"/>
      </w:pPr>
      <w:r w:rsidRPr="00A97450">
        <w:t>l’activation des coûts de développement</w:t>
      </w:r>
      <w:r>
        <w:t> ;</w:t>
      </w:r>
    </w:p>
    <w:p w14:paraId="3C0527D6" w14:textId="3631FFE7" w:rsidR="00A97450" w:rsidRPr="00A97450" w:rsidRDefault="00A97450">
      <w:pPr>
        <w:numPr>
          <w:ilvl w:val="0"/>
          <w:numId w:val="37"/>
        </w:numPr>
        <w:spacing w:after="0" w:line="240" w:lineRule="auto"/>
      </w:pPr>
      <w:r w:rsidRPr="00A97450">
        <w:t>la comptabilisation en charges de certains frais de constitution et de premier établissement</w:t>
      </w:r>
      <w:r>
        <w:t> ;</w:t>
      </w:r>
    </w:p>
    <w:p w14:paraId="2CD618C1" w14:textId="77777777" w:rsidR="00A97450" w:rsidRPr="00A97450" w:rsidRDefault="00A97450">
      <w:pPr>
        <w:numPr>
          <w:ilvl w:val="0"/>
          <w:numId w:val="37"/>
        </w:numPr>
        <w:spacing w:after="0" w:line="240" w:lineRule="auto"/>
      </w:pPr>
      <w:r w:rsidRPr="00A97450">
        <w:t>l’incorporation au coût de certains frais directement liés à l’acquisition d’un actif.</w:t>
      </w:r>
    </w:p>
    <w:p w14:paraId="2C80800D" w14:textId="77777777" w:rsidR="00A97450" w:rsidRPr="00A97450" w:rsidRDefault="00A97450" w:rsidP="00A97450">
      <w:pPr>
        <w:spacing w:after="0" w:line="240" w:lineRule="auto"/>
      </w:pPr>
      <w:r w:rsidRPr="00A97450">
        <w:t>Le passage à une méthode de référence bénéficie de règles particulières, et son adoption est irréversible dans les conditions prévues par le PCG.</w:t>
      </w:r>
    </w:p>
    <w:p w14:paraId="58BD47B1" w14:textId="77777777" w:rsidR="00A97450" w:rsidRPr="00A97450" w:rsidRDefault="00A97450" w:rsidP="00A97450">
      <w:pPr>
        <w:spacing w:after="0" w:line="240" w:lineRule="auto"/>
      </w:pPr>
      <w:r w:rsidRPr="00A97450">
        <w:pict w14:anchorId="3B666462">
          <v:rect id="_x0000_i3330" style="width:0;height:1.5pt" o:hralign="center" o:hrstd="t" o:hr="t" fillcolor="#a0a0a0" stroked="f"/>
        </w:pict>
      </w:r>
    </w:p>
    <w:p w14:paraId="70742A63" w14:textId="77777777" w:rsidR="00A97450" w:rsidRPr="00A97450" w:rsidRDefault="00A97450" w:rsidP="00A97450">
      <w:pPr>
        <w:pStyle w:val="Titre1"/>
      </w:pPr>
      <w:r w:rsidRPr="00A97450">
        <w:t>33. Le changement d’estimation comptable</w:t>
      </w:r>
    </w:p>
    <w:p w14:paraId="338B170B" w14:textId="5BD2E07A" w:rsidR="00A97450" w:rsidRPr="00A97450" w:rsidRDefault="00A97450" w:rsidP="00A97450">
      <w:pPr>
        <w:spacing w:after="0" w:line="240" w:lineRule="auto"/>
      </w:pPr>
      <w:r w:rsidRPr="00A97450">
        <w:t xml:space="preserve">Une </w:t>
      </w:r>
      <w:r w:rsidRPr="00A97450">
        <w:rPr>
          <w:b/>
          <w:bCs/>
        </w:rPr>
        <w:t>estimation comptable</w:t>
      </w:r>
      <w:r w:rsidRPr="00A97450">
        <w:t xml:space="preserve"> résulte</w:t>
      </w:r>
      <w:r>
        <w:t> :</w:t>
      </w:r>
    </w:p>
    <w:p w14:paraId="79FFDD3B" w14:textId="3BF5B469" w:rsidR="00A97450" w:rsidRPr="00A97450" w:rsidRDefault="00A97450">
      <w:pPr>
        <w:numPr>
          <w:ilvl w:val="0"/>
          <w:numId w:val="38"/>
        </w:numPr>
        <w:spacing w:after="0" w:line="240" w:lineRule="auto"/>
      </w:pPr>
      <w:r w:rsidRPr="00A97450">
        <w:t>de l’exercice du jugement</w:t>
      </w:r>
      <w:r>
        <w:t> ;</w:t>
      </w:r>
    </w:p>
    <w:p w14:paraId="67D71146" w14:textId="77777777" w:rsidR="00A97450" w:rsidRPr="00A97450" w:rsidRDefault="00A97450">
      <w:pPr>
        <w:numPr>
          <w:ilvl w:val="0"/>
          <w:numId w:val="38"/>
        </w:numPr>
        <w:spacing w:after="0" w:line="240" w:lineRule="auto"/>
      </w:pPr>
      <w:r w:rsidRPr="00A97450">
        <w:t>de l’utilisation d’hypothèses dans l’application d’une méthode comptable.</w:t>
      </w:r>
    </w:p>
    <w:p w14:paraId="40BE998C" w14:textId="77777777" w:rsidR="00A97450" w:rsidRPr="00A97450" w:rsidRDefault="00A97450" w:rsidP="00A97450">
      <w:pPr>
        <w:spacing w:after="0" w:line="240" w:lineRule="auto"/>
        <w:rPr>
          <w:b/>
          <w:bCs/>
        </w:rPr>
      </w:pPr>
      <w:r w:rsidRPr="00A97450">
        <w:rPr>
          <w:b/>
          <w:bCs/>
        </w:rPr>
        <w:t>Exemples</w:t>
      </w:r>
    </w:p>
    <w:p w14:paraId="6B157802" w14:textId="793901F0" w:rsidR="00A97450" w:rsidRPr="00A97450" w:rsidRDefault="00A97450">
      <w:pPr>
        <w:numPr>
          <w:ilvl w:val="0"/>
          <w:numId w:val="39"/>
        </w:numPr>
        <w:spacing w:after="0" w:line="240" w:lineRule="auto"/>
      </w:pPr>
      <w:r w:rsidRPr="00A97450">
        <w:t>durée d’utilisation probable d’un actif</w:t>
      </w:r>
      <w:r>
        <w:t> ;</w:t>
      </w:r>
    </w:p>
    <w:p w14:paraId="31A9D100" w14:textId="43B50A93" w:rsidR="00A97450" w:rsidRPr="00A97450" w:rsidRDefault="00A97450">
      <w:pPr>
        <w:numPr>
          <w:ilvl w:val="0"/>
          <w:numId w:val="39"/>
        </w:numPr>
        <w:spacing w:after="0" w:line="240" w:lineRule="auto"/>
      </w:pPr>
      <w:r w:rsidRPr="00A97450">
        <w:t>valeur résiduelle</w:t>
      </w:r>
      <w:r>
        <w:t> ;</w:t>
      </w:r>
    </w:p>
    <w:p w14:paraId="5AC3B29B" w14:textId="6B559734" w:rsidR="00A97450" w:rsidRPr="00A97450" w:rsidRDefault="00A97450">
      <w:pPr>
        <w:numPr>
          <w:ilvl w:val="0"/>
          <w:numId w:val="39"/>
        </w:numPr>
        <w:spacing w:after="0" w:line="240" w:lineRule="auto"/>
      </w:pPr>
      <w:r w:rsidRPr="00A97450">
        <w:t>estimation d’une dépréciation</w:t>
      </w:r>
      <w:r>
        <w:t> ;</w:t>
      </w:r>
    </w:p>
    <w:p w14:paraId="20A7DAB3" w14:textId="77777777" w:rsidR="00A97450" w:rsidRPr="00A97450" w:rsidRDefault="00A97450">
      <w:pPr>
        <w:numPr>
          <w:ilvl w:val="0"/>
          <w:numId w:val="39"/>
        </w:numPr>
        <w:spacing w:after="0" w:line="240" w:lineRule="auto"/>
      </w:pPr>
      <w:r w:rsidRPr="00A97450">
        <w:t>estimation d’une provision.</w:t>
      </w:r>
    </w:p>
    <w:p w14:paraId="627DB834" w14:textId="7BDED662" w:rsidR="00A97450" w:rsidRPr="00A97450" w:rsidRDefault="00A97450" w:rsidP="00A97450">
      <w:pPr>
        <w:spacing w:after="0" w:line="240" w:lineRule="auto"/>
      </w:pPr>
      <w:r w:rsidRPr="00A97450">
        <w:t>Un changement d’estimation peut résulter</w:t>
      </w:r>
      <w:r>
        <w:t> :</w:t>
      </w:r>
    </w:p>
    <w:p w14:paraId="0C107F0E" w14:textId="238385AD" w:rsidR="00A97450" w:rsidRPr="00A97450" w:rsidRDefault="00A97450">
      <w:pPr>
        <w:numPr>
          <w:ilvl w:val="0"/>
          <w:numId w:val="40"/>
        </w:numPr>
        <w:spacing w:after="0" w:line="240" w:lineRule="auto"/>
      </w:pPr>
      <w:r w:rsidRPr="00A97450">
        <w:t>de nouvelles informations</w:t>
      </w:r>
      <w:r>
        <w:t> ;</w:t>
      </w:r>
    </w:p>
    <w:p w14:paraId="6FE6FF98" w14:textId="6F2CB715" w:rsidR="00A97450" w:rsidRPr="00A97450" w:rsidRDefault="00A97450">
      <w:pPr>
        <w:numPr>
          <w:ilvl w:val="0"/>
          <w:numId w:val="40"/>
        </w:numPr>
        <w:spacing w:after="0" w:line="240" w:lineRule="auto"/>
      </w:pPr>
      <w:r w:rsidRPr="00A97450">
        <w:lastRenderedPageBreak/>
        <w:t>d’un changement des circonstances</w:t>
      </w:r>
      <w:r>
        <w:t> ;</w:t>
      </w:r>
    </w:p>
    <w:p w14:paraId="0BE85D50" w14:textId="77777777" w:rsidR="00A97450" w:rsidRPr="00A97450" w:rsidRDefault="00A97450">
      <w:pPr>
        <w:numPr>
          <w:ilvl w:val="0"/>
          <w:numId w:val="40"/>
        </w:numPr>
        <w:spacing w:after="0" w:line="240" w:lineRule="auto"/>
      </w:pPr>
      <w:r w:rsidRPr="00A97450">
        <w:t>d’une meilleure expérience.</w:t>
      </w:r>
    </w:p>
    <w:p w14:paraId="6C507989" w14:textId="77777777" w:rsidR="00A97450" w:rsidRPr="00A97450" w:rsidRDefault="00A97450" w:rsidP="00A97450">
      <w:pPr>
        <w:spacing w:after="0" w:line="240" w:lineRule="auto"/>
        <w:rPr>
          <w:b/>
          <w:bCs/>
        </w:rPr>
      </w:pPr>
      <w:r w:rsidRPr="00A97450">
        <w:rPr>
          <w:b/>
          <w:bCs/>
        </w:rPr>
        <w:t>Traitement</w:t>
      </w:r>
    </w:p>
    <w:p w14:paraId="665374CD" w14:textId="77777777" w:rsidR="00A97450" w:rsidRPr="00A97450" w:rsidRDefault="00A97450" w:rsidP="00A97450">
      <w:pPr>
        <w:spacing w:after="0" w:line="240" w:lineRule="auto"/>
      </w:pPr>
      <w:r w:rsidRPr="00A97450">
        <w:t xml:space="preserve">Le changement d’estimation est </w:t>
      </w:r>
      <w:r w:rsidRPr="00A97450">
        <w:rPr>
          <w:b/>
          <w:bCs/>
        </w:rPr>
        <w:t>prospectif</w:t>
      </w:r>
      <w:r w:rsidRPr="00A97450">
        <w:t>.</w:t>
      </w:r>
    </w:p>
    <w:p w14:paraId="2AB4DC60" w14:textId="7F22B546" w:rsidR="00A97450" w:rsidRPr="00A97450" w:rsidRDefault="00A97450" w:rsidP="00A97450">
      <w:pPr>
        <w:spacing w:after="0" w:line="240" w:lineRule="auto"/>
      </w:pPr>
      <w:r w:rsidRPr="00A97450">
        <w:t>Il affecte</w:t>
      </w:r>
      <w:r>
        <w:t> :</w:t>
      </w:r>
    </w:p>
    <w:p w14:paraId="77772B09" w14:textId="29F5D19D" w:rsidR="00A97450" w:rsidRPr="00A97450" w:rsidRDefault="00A97450">
      <w:pPr>
        <w:numPr>
          <w:ilvl w:val="0"/>
          <w:numId w:val="41"/>
        </w:numPr>
        <w:spacing w:after="0" w:line="240" w:lineRule="auto"/>
      </w:pPr>
      <w:r w:rsidRPr="00A97450">
        <w:t>l’exercice en cours</w:t>
      </w:r>
      <w:r>
        <w:t> ;</w:t>
      </w:r>
    </w:p>
    <w:p w14:paraId="31BAE225" w14:textId="77777777" w:rsidR="00A97450" w:rsidRPr="00A97450" w:rsidRDefault="00A97450">
      <w:pPr>
        <w:numPr>
          <w:ilvl w:val="0"/>
          <w:numId w:val="41"/>
        </w:numPr>
        <w:spacing w:after="0" w:line="240" w:lineRule="auto"/>
      </w:pPr>
      <w:r w:rsidRPr="00A97450">
        <w:t>et éventuellement les exercices futurs.</w:t>
      </w:r>
    </w:p>
    <w:p w14:paraId="6982723E" w14:textId="77777777" w:rsidR="00A97450" w:rsidRPr="00A97450" w:rsidRDefault="00A97450" w:rsidP="00A97450">
      <w:pPr>
        <w:spacing w:after="0" w:line="240" w:lineRule="auto"/>
      </w:pPr>
      <w:r w:rsidRPr="00A97450">
        <w:t>Les exercices passés ne sont pas retraités.</w:t>
      </w:r>
    </w:p>
    <w:p w14:paraId="4C659555" w14:textId="77777777" w:rsidR="00A97450" w:rsidRPr="00A97450" w:rsidRDefault="00A97450" w:rsidP="00A97450">
      <w:pPr>
        <w:spacing w:after="0" w:line="240" w:lineRule="auto"/>
      </w:pPr>
      <w:r w:rsidRPr="00A97450">
        <w:pict w14:anchorId="6225DC64">
          <v:rect id="_x0000_i3331" style="width:0;height:1.5pt" o:hralign="center" o:hrstd="t" o:hr="t" fillcolor="#a0a0a0" stroked="f"/>
        </w:pict>
      </w:r>
    </w:p>
    <w:p w14:paraId="701EAB6D" w14:textId="77777777" w:rsidR="00A97450" w:rsidRPr="00A97450" w:rsidRDefault="00A97450" w:rsidP="00A97450">
      <w:pPr>
        <w:pStyle w:val="Titre1"/>
      </w:pPr>
      <w:r w:rsidRPr="00A97450">
        <w:t>34. La correction d’une erreur</w:t>
      </w:r>
    </w:p>
    <w:p w14:paraId="63A374B9" w14:textId="6AC0CE52" w:rsidR="00A97450" w:rsidRPr="00A97450" w:rsidRDefault="00A97450" w:rsidP="00A97450">
      <w:pPr>
        <w:spacing w:after="0" w:line="240" w:lineRule="auto"/>
      </w:pPr>
      <w:r w:rsidRPr="00A97450">
        <w:t>Une erreur peut résulter notamment</w:t>
      </w:r>
      <w:r>
        <w:t> :</w:t>
      </w:r>
    </w:p>
    <w:p w14:paraId="10C1CE6D" w14:textId="3A57F785" w:rsidR="00A97450" w:rsidRPr="00A97450" w:rsidRDefault="00A97450">
      <w:pPr>
        <w:numPr>
          <w:ilvl w:val="0"/>
          <w:numId w:val="42"/>
        </w:numPr>
        <w:spacing w:after="0" w:line="240" w:lineRule="auto"/>
      </w:pPr>
      <w:r w:rsidRPr="00A97450">
        <w:t>d’une omission</w:t>
      </w:r>
      <w:r>
        <w:t> ;</w:t>
      </w:r>
    </w:p>
    <w:p w14:paraId="7618F0AE" w14:textId="5E67B812" w:rsidR="00A97450" w:rsidRPr="00A97450" w:rsidRDefault="00A97450">
      <w:pPr>
        <w:numPr>
          <w:ilvl w:val="0"/>
          <w:numId w:val="42"/>
        </w:numPr>
        <w:spacing w:after="0" w:line="240" w:lineRule="auto"/>
      </w:pPr>
      <w:r w:rsidRPr="00A97450">
        <w:t>d’une erreur matérielle</w:t>
      </w:r>
      <w:r>
        <w:t> ;</w:t>
      </w:r>
    </w:p>
    <w:p w14:paraId="35D62F2F" w14:textId="3B3AB31B" w:rsidR="00A97450" w:rsidRPr="00A97450" w:rsidRDefault="00A97450">
      <w:pPr>
        <w:numPr>
          <w:ilvl w:val="0"/>
          <w:numId w:val="42"/>
        </w:numPr>
        <w:spacing w:after="0" w:line="240" w:lineRule="auto"/>
      </w:pPr>
      <w:r w:rsidRPr="00A97450">
        <w:t>d’une interprétation erronée</w:t>
      </w:r>
      <w:r>
        <w:t> ;</w:t>
      </w:r>
    </w:p>
    <w:p w14:paraId="74DCEE2B" w14:textId="77777777" w:rsidR="00A97450" w:rsidRPr="00A97450" w:rsidRDefault="00A97450">
      <w:pPr>
        <w:numPr>
          <w:ilvl w:val="0"/>
          <w:numId w:val="42"/>
        </w:numPr>
        <w:spacing w:after="0" w:line="240" w:lineRule="auto"/>
      </w:pPr>
      <w:r w:rsidRPr="00A97450">
        <w:t>de l’utilisation d’une méthode comptable non admise.</w:t>
      </w:r>
    </w:p>
    <w:p w14:paraId="5AA9EE7E" w14:textId="77777777" w:rsidR="00A97450" w:rsidRPr="00A97450" w:rsidRDefault="00A97450" w:rsidP="00A97450">
      <w:pPr>
        <w:spacing w:after="0" w:line="240" w:lineRule="auto"/>
        <w:rPr>
          <w:b/>
          <w:bCs/>
        </w:rPr>
      </w:pPr>
      <w:r w:rsidRPr="00A97450">
        <w:rPr>
          <w:b/>
          <w:bCs/>
        </w:rPr>
        <w:t>Exemple</w:t>
      </w:r>
    </w:p>
    <w:p w14:paraId="442F2FD0" w14:textId="507AF5CF" w:rsidR="00A97450" w:rsidRPr="00A97450" w:rsidRDefault="00A97450" w:rsidP="00A97450">
      <w:pPr>
        <w:spacing w:after="0" w:line="240" w:lineRule="auto"/>
      </w:pPr>
      <w:r w:rsidRPr="00A97450">
        <w:t>Une facture de 50 000</w:t>
      </w:r>
      <w:r>
        <w:t> €</w:t>
      </w:r>
      <w:r w:rsidRPr="00A97450">
        <w:t xml:space="preserve"> aurait dû être enregistrée mais a été totalement omise alors qu’elle était disponible lors de l’établissement des comptes.</w:t>
      </w:r>
    </w:p>
    <w:p w14:paraId="614A28CF" w14:textId="77777777" w:rsidR="00A97450" w:rsidRPr="00A97450" w:rsidRDefault="00A97450" w:rsidP="00A97450">
      <w:pPr>
        <w:spacing w:after="0" w:line="240" w:lineRule="auto"/>
      </w:pPr>
      <w:r w:rsidRPr="00A97450">
        <w:t xml:space="preserve">Il s’agit d’une </w:t>
      </w:r>
      <w:r w:rsidRPr="00A97450">
        <w:rPr>
          <w:b/>
          <w:bCs/>
        </w:rPr>
        <w:t>erreur</w:t>
      </w:r>
      <w:r w:rsidRPr="00A97450">
        <w:t>, pas d’un changement d’estimation.</w:t>
      </w:r>
    </w:p>
    <w:p w14:paraId="750C7CC4" w14:textId="77777777" w:rsidR="00A97450" w:rsidRPr="00A97450" w:rsidRDefault="00A97450" w:rsidP="00A97450">
      <w:pPr>
        <w:spacing w:after="0" w:line="240" w:lineRule="auto"/>
        <w:rPr>
          <w:b/>
          <w:bCs/>
        </w:rPr>
      </w:pPr>
      <w:r w:rsidRPr="00A97450">
        <w:rPr>
          <w:b/>
          <w:bCs/>
        </w:rPr>
        <w:t>Traitement</w:t>
      </w:r>
    </w:p>
    <w:p w14:paraId="7B1B56CC" w14:textId="77777777" w:rsidR="00A97450" w:rsidRPr="00A97450" w:rsidRDefault="00A97450" w:rsidP="00A97450">
      <w:pPr>
        <w:spacing w:after="0" w:line="240" w:lineRule="auto"/>
      </w:pPr>
      <w:r w:rsidRPr="00A97450">
        <w:t>Le PCG 2026 prévoit que les corrections d’erreurs sont comptabilisées dans le résultat de l’exercice au cours duquel elles sont constatées, sauf notamment lorsqu’il s’agit de corriger une écriture qui avait été directement imputée sur les capitaux propres. Les erreurs significatives font l’objet d’une présentation spécifique.</w:t>
      </w:r>
    </w:p>
    <w:p w14:paraId="62DDCA04" w14:textId="77777777" w:rsidR="00A97450" w:rsidRPr="00A97450" w:rsidRDefault="00A97450" w:rsidP="00A97450">
      <w:pPr>
        <w:spacing w:after="0" w:line="240" w:lineRule="auto"/>
      </w:pPr>
      <w:r w:rsidRPr="00A97450">
        <w:pict w14:anchorId="6184CB88">
          <v:rect id="_x0000_i3332" style="width:0;height:1.5pt" o:hralign="center" o:hrstd="t" o:hr="t" fillcolor="#a0a0a0" stroked="f"/>
        </w:pict>
      </w:r>
    </w:p>
    <w:p w14:paraId="719BE9AC" w14:textId="77777777" w:rsidR="00A97450" w:rsidRPr="00A97450" w:rsidRDefault="00A97450" w:rsidP="00A97450">
      <w:pPr>
        <w:pStyle w:val="Titre1"/>
      </w:pPr>
      <w:r w:rsidRPr="00A97450">
        <w:t>35. Ne pas confondre méthode, estimation et erreur</w:t>
      </w:r>
    </w:p>
    <w:tbl>
      <w:tblPr>
        <w:tblStyle w:val="Grilledutableau"/>
        <w:tblW w:w="0" w:type="auto"/>
        <w:tblLook w:val="04A0" w:firstRow="1" w:lastRow="0" w:firstColumn="1" w:lastColumn="0" w:noHBand="0" w:noVBand="1"/>
      </w:tblPr>
      <w:tblGrid>
        <w:gridCol w:w="2188"/>
        <w:gridCol w:w="5550"/>
        <w:gridCol w:w="2718"/>
      </w:tblGrid>
      <w:tr w:rsidR="00A97450" w:rsidRPr="00A97450" w14:paraId="51B04613" w14:textId="77777777" w:rsidTr="00A97450">
        <w:trPr>
          <w:tblHeader/>
        </w:trPr>
        <w:tc>
          <w:tcPr>
            <w:tcW w:w="0" w:type="auto"/>
            <w:hideMark/>
          </w:tcPr>
          <w:p w14:paraId="05604CBF" w14:textId="77777777" w:rsidR="00A97450" w:rsidRPr="00A97450" w:rsidRDefault="00A97450" w:rsidP="00A97450">
            <w:pPr>
              <w:jc w:val="left"/>
              <w:rPr>
                <w:rFonts w:ascii="Calibri" w:hAnsi="Calibri" w:cs="Calibri"/>
                <w:b/>
                <w:bCs/>
                <w:sz w:val="20"/>
              </w:rPr>
            </w:pPr>
            <w:r w:rsidRPr="00A97450">
              <w:rPr>
                <w:rFonts w:ascii="Calibri" w:hAnsi="Calibri" w:cs="Calibri"/>
                <w:b/>
                <w:bCs/>
                <w:sz w:val="20"/>
              </w:rPr>
              <w:t>Situation</w:t>
            </w:r>
          </w:p>
        </w:tc>
        <w:tc>
          <w:tcPr>
            <w:tcW w:w="0" w:type="auto"/>
            <w:hideMark/>
          </w:tcPr>
          <w:p w14:paraId="5A6CE62B" w14:textId="77777777" w:rsidR="00A97450" w:rsidRPr="00A97450" w:rsidRDefault="00A97450" w:rsidP="00A97450">
            <w:pPr>
              <w:jc w:val="left"/>
              <w:rPr>
                <w:rFonts w:ascii="Calibri" w:hAnsi="Calibri" w:cs="Calibri"/>
                <w:b/>
                <w:bCs/>
                <w:sz w:val="20"/>
              </w:rPr>
            </w:pPr>
            <w:r w:rsidRPr="00A97450">
              <w:rPr>
                <w:rFonts w:ascii="Calibri" w:hAnsi="Calibri" w:cs="Calibri"/>
                <w:b/>
                <w:bCs/>
                <w:sz w:val="20"/>
              </w:rPr>
              <w:t>Origine</w:t>
            </w:r>
          </w:p>
        </w:tc>
        <w:tc>
          <w:tcPr>
            <w:tcW w:w="0" w:type="auto"/>
            <w:hideMark/>
          </w:tcPr>
          <w:p w14:paraId="1EC6F4F6" w14:textId="77777777" w:rsidR="00A97450" w:rsidRPr="00A97450" w:rsidRDefault="00A97450" w:rsidP="00A97450">
            <w:pPr>
              <w:jc w:val="left"/>
              <w:rPr>
                <w:rFonts w:ascii="Calibri" w:hAnsi="Calibri" w:cs="Calibri"/>
                <w:b/>
                <w:bCs/>
                <w:sz w:val="20"/>
              </w:rPr>
            </w:pPr>
            <w:r w:rsidRPr="00A97450">
              <w:rPr>
                <w:rFonts w:ascii="Calibri" w:hAnsi="Calibri" w:cs="Calibri"/>
                <w:b/>
                <w:bCs/>
                <w:sz w:val="20"/>
              </w:rPr>
              <w:t>Traitement général</w:t>
            </w:r>
          </w:p>
        </w:tc>
      </w:tr>
      <w:tr w:rsidR="00A97450" w:rsidRPr="00A97450" w14:paraId="71F6B9C7" w14:textId="77777777" w:rsidTr="00A97450">
        <w:tc>
          <w:tcPr>
            <w:tcW w:w="0" w:type="auto"/>
            <w:hideMark/>
          </w:tcPr>
          <w:p w14:paraId="727D3665" w14:textId="77777777" w:rsidR="00A97450" w:rsidRPr="00A97450" w:rsidRDefault="00A97450" w:rsidP="00A97450">
            <w:pPr>
              <w:jc w:val="left"/>
              <w:rPr>
                <w:rFonts w:ascii="Calibri" w:hAnsi="Calibri" w:cs="Calibri"/>
                <w:sz w:val="20"/>
              </w:rPr>
            </w:pPr>
            <w:r w:rsidRPr="00A97450">
              <w:rPr>
                <w:rFonts w:ascii="Calibri" w:hAnsi="Calibri" w:cs="Calibri"/>
                <w:b/>
                <w:bCs/>
                <w:sz w:val="20"/>
              </w:rPr>
              <w:t>Changement de méthode</w:t>
            </w:r>
          </w:p>
        </w:tc>
        <w:tc>
          <w:tcPr>
            <w:tcW w:w="0" w:type="auto"/>
            <w:hideMark/>
          </w:tcPr>
          <w:p w14:paraId="489CA552" w14:textId="77777777" w:rsidR="00A97450" w:rsidRPr="00A97450" w:rsidRDefault="00A97450" w:rsidP="00A97450">
            <w:pPr>
              <w:jc w:val="left"/>
              <w:rPr>
                <w:rFonts w:ascii="Calibri" w:hAnsi="Calibri" w:cs="Calibri"/>
                <w:sz w:val="20"/>
              </w:rPr>
            </w:pPr>
            <w:r w:rsidRPr="00A97450">
              <w:rPr>
                <w:rFonts w:ascii="Calibri" w:hAnsi="Calibri" w:cs="Calibri"/>
                <w:sz w:val="20"/>
              </w:rPr>
              <w:t>Modification d’une méthode comptable</w:t>
            </w:r>
          </w:p>
        </w:tc>
        <w:tc>
          <w:tcPr>
            <w:tcW w:w="0" w:type="auto"/>
            <w:hideMark/>
          </w:tcPr>
          <w:p w14:paraId="3C7F1288" w14:textId="77777777" w:rsidR="00A97450" w:rsidRPr="00A97450" w:rsidRDefault="00A97450" w:rsidP="00A97450">
            <w:pPr>
              <w:jc w:val="left"/>
              <w:rPr>
                <w:rFonts w:ascii="Calibri" w:hAnsi="Calibri" w:cs="Calibri"/>
                <w:sz w:val="20"/>
              </w:rPr>
            </w:pPr>
            <w:r w:rsidRPr="00A97450">
              <w:rPr>
                <w:rFonts w:ascii="Calibri" w:hAnsi="Calibri" w:cs="Calibri"/>
                <w:sz w:val="20"/>
              </w:rPr>
              <w:t>En principe rétrospectif</w:t>
            </w:r>
          </w:p>
        </w:tc>
      </w:tr>
      <w:tr w:rsidR="00A97450" w:rsidRPr="00A97450" w14:paraId="1BAD6291" w14:textId="77777777" w:rsidTr="00A97450">
        <w:tc>
          <w:tcPr>
            <w:tcW w:w="0" w:type="auto"/>
            <w:hideMark/>
          </w:tcPr>
          <w:p w14:paraId="21420759" w14:textId="77777777" w:rsidR="00A97450" w:rsidRPr="00A97450" w:rsidRDefault="00A97450" w:rsidP="00A97450">
            <w:pPr>
              <w:jc w:val="left"/>
              <w:rPr>
                <w:rFonts w:ascii="Calibri" w:hAnsi="Calibri" w:cs="Calibri"/>
                <w:sz w:val="20"/>
              </w:rPr>
            </w:pPr>
            <w:r w:rsidRPr="00A97450">
              <w:rPr>
                <w:rFonts w:ascii="Calibri" w:hAnsi="Calibri" w:cs="Calibri"/>
                <w:b/>
                <w:bCs/>
                <w:sz w:val="20"/>
              </w:rPr>
              <w:t>Changement d’estimation</w:t>
            </w:r>
          </w:p>
        </w:tc>
        <w:tc>
          <w:tcPr>
            <w:tcW w:w="0" w:type="auto"/>
            <w:hideMark/>
          </w:tcPr>
          <w:p w14:paraId="7D20A524" w14:textId="77777777" w:rsidR="00A97450" w:rsidRPr="00A97450" w:rsidRDefault="00A97450" w:rsidP="00A97450">
            <w:pPr>
              <w:jc w:val="left"/>
              <w:rPr>
                <w:rFonts w:ascii="Calibri" w:hAnsi="Calibri" w:cs="Calibri"/>
                <w:sz w:val="20"/>
              </w:rPr>
            </w:pPr>
            <w:r w:rsidRPr="00A97450">
              <w:rPr>
                <w:rFonts w:ascii="Calibri" w:hAnsi="Calibri" w:cs="Calibri"/>
                <w:sz w:val="20"/>
              </w:rPr>
              <w:t>Nouvelles informations, nouvelles circonstances ou meilleure expérience</w:t>
            </w:r>
          </w:p>
        </w:tc>
        <w:tc>
          <w:tcPr>
            <w:tcW w:w="0" w:type="auto"/>
            <w:hideMark/>
          </w:tcPr>
          <w:p w14:paraId="686C3EAD" w14:textId="77777777" w:rsidR="00A97450" w:rsidRPr="00A97450" w:rsidRDefault="00A97450" w:rsidP="00A97450">
            <w:pPr>
              <w:jc w:val="left"/>
              <w:rPr>
                <w:rFonts w:ascii="Calibri" w:hAnsi="Calibri" w:cs="Calibri"/>
                <w:sz w:val="20"/>
              </w:rPr>
            </w:pPr>
            <w:r w:rsidRPr="00A97450">
              <w:rPr>
                <w:rFonts w:ascii="Calibri" w:hAnsi="Calibri" w:cs="Calibri"/>
                <w:sz w:val="20"/>
              </w:rPr>
              <w:t>Prospectif</w:t>
            </w:r>
          </w:p>
        </w:tc>
      </w:tr>
      <w:tr w:rsidR="00A97450" w:rsidRPr="00A97450" w14:paraId="70206221" w14:textId="77777777" w:rsidTr="00A97450">
        <w:tc>
          <w:tcPr>
            <w:tcW w:w="0" w:type="auto"/>
            <w:hideMark/>
          </w:tcPr>
          <w:p w14:paraId="65AB27D8" w14:textId="77777777" w:rsidR="00A97450" w:rsidRPr="00A97450" w:rsidRDefault="00A97450" w:rsidP="00A97450">
            <w:pPr>
              <w:jc w:val="left"/>
              <w:rPr>
                <w:rFonts w:ascii="Calibri" w:hAnsi="Calibri" w:cs="Calibri"/>
                <w:sz w:val="20"/>
              </w:rPr>
            </w:pPr>
            <w:r w:rsidRPr="00A97450">
              <w:rPr>
                <w:rFonts w:ascii="Calibri" w:hAnsi="Calibri" w:cs="Calibri"/>
                <w:b/>
                <w:bCs/>
                <w:sz w:val="20"/>
              </w:rPr>
              <w:t>Correction d’erreur</w:t>
            </w:r>
          </w:p>
        </w:tc>
        <w:tc>
          <w:tcPr>
            <w:tcW w:w="0" w:type="auto"/>
            <w:hideMark/>
          </w:tcPr>
          <w:p w14:paraId="72247B22" w14:textId="77777777" w:rsidR="00A97450" w:rsidRPr="00A97450" w:rsidRDefault="00A97450" w:rsidP="00A97450">
            <w:pPr>
              <w:jc w:val="left"/>
              <w:rPr>
                <w:rFonts w:ascii="Calibri" w:hAnsi="Calibri" w:cs="Calibri"/>
                <w:sz w:val="20"/>
              </w:rPr>
            </w:pPr>
            <w:r w:rsidRPr="00A97450">
              <w:rPr>
                <w:rFonts w:ascii="Calibri" w:hAnsi="Calibri" w:cs="Calibri"/>
                <w:sz w:val="20"/>
              </w:rPr>
              <w:t>Omission, erreur matérielle, mauvaise interprétation ou méthode interdite</w:t>
            </w:r>
          </w:p>
        </w:tc>
        <w:tc>
          <w:tcPr>
            <w:tcW w:w="0" w:type="auto"/>
            <w:hideMark/>
          </w:tcPr>
          <w:p w14:paraId="7C94B63E" w14:textId="77777777" w:rsidR="00A97450" w:rsidRPr="00A97450" w:rsidRDefault="00A97450" w:rsidP="00A97450">
            <w:pPr>
              <w:jc w:val="left"/>
              <w:rPr>
                <w:rFonts w:ascii="Calibri" w:hAnsi="Calibri" w:cs="Calibri"/>
                <w:sz w:val="20"/>
              </w:rPr>
            </w:pPr>
            <w:r w:rsidRPr="00A97450">
              <w:rPr>
                <w:rFonts w:ascii="Calibri" w:hAnsi="Calibri" w:cs="Calibri"/>
                <w:sz w:val="20"/>
              </w:rPr>
              <w:t>Correction selon les règles du PCG</w:t>
            </w:r>
          </w:p>
        </w:tc>
      </w:tr>
    </w:tbl>
    <w:p w14:paraId="256184B3" w14:textId="77777777" w:rsidR="00A97450" w:rsidRPr="00A97450" w:rsidRDefault="00A97450" w:rsidP="00A97450">
      <w:pPr>
        <w:spacing w:after="0" w:line="240" w:lineRule="auto"/>
        <w:rPr>
          <w:b/>
          <w:bCs/>
        </w:rPr>
      </w:pPr>
      <w:r w:rsidRPr="00A97450">
        <w:rPr>
          <w:b/>
          <w:bCs/>
        </w:rPr>
        <w:t>Exemple 1</w:t>
      </w:r>
    </w:p>
    <w:p w14:paraId="292C927B" w14:textId="77777777" w:rsidR="00A97450" w:rsidRPr="00A97450" w:rsidRDefault="00A97450" w:rsidP="00A97450">
      <w:pPr>
        <w:spacing w:after="0" w:line="240" w:lineRule="auto"/>
      </w:pPr>
      <w:r w:rsidRPr="00A97450">
        <w:t>Une entreprise choisit une autre méthode comptable autorisée parce qu’elle fournit une meilleure information.</w:t>
      </w:r>
    </w:p>
    <w:p w14:paraId="2DFC4F27" w14:textId="77777777" w:rsidR="00A97450" w:rsidRPr="00A97450" w:rsidRDefault="00A97450" w:rsidP="00A97450">
      <w:pPr>
        <w:spacing w:after="0" w:line="240" w:lineRule="auto"/>
      </w:pPr>
      <w:r w:rsidRPr="00A97450">
        <w:t xml:space="preserve">→ </w:t>
      </w:r>
      <w:r w:rsidRPr="00A97450">
        <w:rPr>
          <w:b/>
          <w:bCs/>
        </w:rPr>
        <w:t>Changement de méthode.</w:t>
      </w:r>
    </w:p>
    <w:p w14:paraId="4375562C" w14:textId="77777777" w:rsidR="00A97450" w:rsidRPr="00A97450" w:rsidRDefault="00A97450" w:rsidP="00A97450">
      <w:pPr>
        <w:spacing w:after="0" w:line="240" w:lineRule="auto"/>
        <w:rPr>
          <w:b/>
          <w:bCs/>
        </w:rPr>
      </w:pPr>
      <w:r w:rsidRPr="00A97450">
        <w:rPr>
          <w:b/>
          <w:bCs/>
        </w:rPr>
        <w:t>Exemple 2</w:t>
      </w:r>
    </w:p>
    <w:p w14:paraId="0777A902" w14:textId="77777777" w:rsidR="00A97450" w:rsidRPr="00A97450" w:rsidRDefault="00A97450" w:rsidP="00A97450">
      <w:pPr>
        <w:spacing w:after="0" w:line="240" w:lineRule="auto"/>
      </w:pPr>
      <w:r w:rsidRPr="00A97450">
        <w:t>Une machine qui devait être utilisée dix ans ne pourra finalement être utilisée que sept ans à la suite d’éléments nouveaux.</w:t>
      </w:r>
    </w:p>
    <w:p w14:paraId="149B6F19" w14:textId="77777777" w:rsidR="00A97450" w:rsidRPr="00A97450" w:rsidRDefault="00A97450" w:rsidP="00A97450">
      <w:pPr>
        <w:spacing w:after="0" w:line="240" w:lineRule="auto"/>
      </w:pPr>
      <w:r w:rsidRPr="00A97450">
        <w:t xml:space="preserve">→ </w:t>
      </w:r>
      <w:r w:rsidRPr="00A97450">
        <w:rPr>
          <w:b/>
          <w:bCs/>
        </w:rPr>
        <w:t>Changement d’estimation.</w:t>
      </w:r>
    </w:p>
    <w:p w14:paraId="2A01BC7E" w14:textId="77777777" w:rsidR="00A97450" w:rsidRPr="00A97450" w:rsidRDefault="00A97450" w:rsidP="00A97450">
      <w:pPr>
        <w:spacing w:after="0" w:line="240" w:lineRule="auto"/>
        <w:rPr>
          <w:b/>
          <w:bCs/>
        </w:rPr>
      </w:pPr>
      <w:r w:rsidRPr="00A97450">
        <w:rPr>
          <w:b/>
          <w:bCs/>
        </w:rPr>
        <w:t>Exemple 3</w:t>
      </w:r>
    </w:p>
    <w:p w14:paraId="1FA90046" w14:textId="77777777" w:rsidR="00A97450" w:rsidRPr="00A97450" w:rsidRDefault="00A97450" w:rsidP="00A97450">
      <w:pPr>
        <w:spacing w:after="0" w:line="240" w:lineRule="auto"/>
      </w:pPr>
      <w:r w:rsidRPr="00A97450">
        <w:t>La durée avait été fixée sur la base d’une information disponible mais mal recopiée dans le dossier comptable.</w:t>
      </w:r>
    </w:p>
    <w:p w14:paraId="317C3062" w14:textId="77777777" w:rsidR="00A97450" w:rsidRPr="00A97450" w:rsidRDefault="00A97450" w:rsidP="00A97450">
      <w:pPr>
        <w:spacing w:after="0" w:line="240" w:lineRule="auto"/>
      </w:pPr>
      <w:r w:rsidRPr="00A97450">
        <w:t xml:space="preserve">→ </w:t>
      </w:r>
      <w:r w:rsidRPr="00A97450">
        <w:rPr>
          <w:b/>
          <w:bCs/>
        </w:rPr>
        <w:t>Erreur.</w:t>
      </w:r>
    </w:p>
    <w:p w14:paraId="0458E6DD" w14:textId="77777777" w:rsidR="00A97450" w:rsidRPr="00A97450" w:rsidRDefault="00A97450" w:rsidP="00A97450">
      <w:pPr>
        <w:spacing w:after="0" w:line="240" w:lineRule="auto"/>
      </w:pPr>
      <w:r w:rsidRPr="00A97450">
        <w:pict w14:anchorId="3E810D21">
          <v:rect id="_x0000_i3333" style="width:0;height:1.5pt" o:hralign="center" o:hrstd="t" o:hr="t" fillcolor="#a0a0a0" stroked="f"/>
        </w:pict>
      </w:r>
    </w:p>
    <w:p w14:paraId="619D55CB" w14:textId="77777777" w:rsidR="00A97450" w:rsidRPr="00A97450" w:rsidRDefault="00A97450" w:rsidP="00A97450">
      <w:pPr>
        <w:pStyle w:val="Titre1"/>
      </w:pPr>
      <w:r w:rsidRPr="00A97450">
        <w:t>36. L’annexe et les changements comptables</w:t>
      </w:r>
    </w:p>
    <w:p w14:paraId="6BF13EB6" w14:textId="77777777" w:rsidR="00A97450" w:rsidRPr="00A97450" w:rsidRDefault="00A97450" w:rsidP="00A97450">
      <w:pPr>
        <w:spacing w:after="0" w:line="240" w:lineRule="auto"/>
      </w:pPr>
      <w:r w:rsidRPr="00A97450">
        <w:t>Les changements comptables doivent être expliqués lorsque les règles l’exigent.</w:t>
      </w:r>
    </w:p>
    <w:p w14:paraId="20FFB086" w14:textId="0BF5CFE3" w:rsidR="00A97450" w:rsidRPr="00A97450" w:rsidRDefault="00A97450" w:rsidP="00A97450">
      <w:pPr>
        <w:spacing w:after="0" w:line="240" w:lineRule="auto"/>
      </w:pPr>
      <w:r w:rsidRPr="00A97450">
        <w:t>Le PCG prévoit notamment dans l’annexe des informations relatives</w:t>
      </w:r>
      <w:r>
        <w:t> :</w:t>
      </w:r>
    </w:p>
    <w:p w14:paraId="0C23C772" w14:textId="55E65517" w:rsidR="00A97450" w:rsidRPr="00A97450" w:rsidRDefault="00A97450">
      <w:pPr>
        <w:numPr>
          <w:ilvl w:val="0"/>
          <w:numId w:val="43"/>
        </w:numPr>
        <w:spacing w:after="0" w:line="240" w:lineRule="auto"/>
      </w:pPr>
      <w:r w:rsidRPr="00A97450">
        <w:t>aux changements de réglementation</w:t>
      </w:r>
      <w:r>
        <w:t> ;</w:t>
      </w:r>
    </w:p>
    <w:p w14:paraId="53A70DD2" w14:textId="44494FB1" w:rsidR="00A97450" w:rsidRPr="00A97450" w:rsidRDefault="00A97450">
      <w:pPr>
        <w:numPr>
          <w:ilvl w:val="0"/>
          <w:numId w:val="43"/>
        </w:numPr>
        <w:spacing w:after="0" w:line="240" w:lineRule="auto"/>
      </w:pPr>
      <w:r w:rsidRPr="00A97450">
        <w:t>aux changements de méthodes</w:t>
      </w:r>
      <w:r>
        <w:t> ;</w:t>
      </w:r>
    </w:p>
    <w:p w14:paraId="4ACA0DFA" w14:textId="7CADA137" w:rsidR="00A97450" w:rsidRPr="00A97450" w:rsidRDefault="00A97450">
      <w:pPr>
        <w:numPr>
          <w:ilvl w:val="0"/>
          <w:numId w:val="43"/>
        </w:numPr>
        <w:spacing w:after="0" w:line="240" w:lineRule="auto"/>
      </w:pPr>
      <w:r w:rsidRPr="00A97450">
        <w:lastRenderedPageBreak/>
        <w:t>aux changements d’estimation</w:t>
      </w:r>
      <w:r>
        <w:t> ;</w:t>
      </w:r>
    </w:p>
    <w:p w14:paraId="4486FDBF" w14:textId="77777777" w:rsidR="00A97450" w:rsidRPr="00A97450" w:rsidRDefault="00A97450">
      <w:pPr>
        <w:numPr>
          <w:ilvl w:val="0"/>
          <w:numId w:val="43"/>
        </w:numPr>
        <w:spacing w:after="0" w:line="240" w:lineRule="auto"/>
      </w:pPr>
      <w:r w:rsidRPr="00A97450">
        <w:t>aux corrections d’erreurs.</w:t>
      </w:r>
    </w:p>
    <w:p w14:paraId="09C15EA2" w14:textId="77777777" w:rsidR="00A97450" w:rsidRPr="00A97450" w:rsidRDefault="00A97450" w:rsidP="00A97450">
      <w:pPr>
        <w:spacing w:after="0" w:line="240" w:lineRule="auto"/>
      </w:pPr>
      <w:r w:rsidRPr="00A97450">
        <w:t xml:space="preserve">L’annexe joue donc un rôle essentiel pour préserver la </w:t>
      </w:r>
      <w:r w:rsidRPr="00A97450">
        <w:rPr>
          <w:b/>
          <w:bCs/>
        </w:rPr>
        <w:t>compréhension et la comparabilité</w:t>
      </w:r>
      <w:r w:rsidRPr="00A97450">
        <w:t xml:space="preserve"> de l’information financière.</w:t>
      </w:r>
    </w:p>
    <w:p w14:paraId="5A5822F3" w14:textId="77777777" w:rsidR="00A97450" w:rsidRPr="00A97450" w:rsidRDefault="00A97450" w:rsidP="00A97450">
      <w:pPr>
        <w:spacing w:after="0" w:line="240" w:lineRule="auto"/>
      </w:pPr>
      <w:r w:rsidRPr="00A97450">
        <w:pict w14:anchorId="77E173F7">
          <v:rect id="_x0000_i3334" style="width:0;height:1.5pt" o:hralign="center" o:hrstd="t" o:hr="t" fillcolor="#a0a0a0" stroked="f"/>
        </w:pict>
      </w:r>
    </w:p>
    <w:p w14:paraId="0241A3AA" w14:textId="77777777" w:rsidR="00A97450" w:rsidRPr="00A97450" w:rsidRDefault="00A97450" w:rsidP="00A97450">
      <w:pPr>
        <w:pStyle w:val="Titre1"/>
      </w:pPr>
      <w:r w:rsidRPr="00A97450">
        <w:t>37. Exemple de raisonnement à l’examen</w:t>
      </w:r>
    </w:p>
    <w:p w14:paraId="2B306D00" w14:textId="77777777" w:rsidR="00A97450" w:rsidRPr="00A97450" w:rsidRDefault="00A97450" w:rsidP="00A97450">
      <w:pPr>
        <w:spacing w:after="0" w:line="240" w:lineRule="auto"/>
        <w:rPr>
          <w:b/>
          <w:bCs/>
        </w:rPr>
      </w:pPr>
      <w:r w:rsidRPr="00A97450">
        <w:rPr>
          <w:b/>
          <w:bCs/>
        </w:rPr>
        <w:t>Situation</w:t>
      </w:r>
    </w:p>
    <w:p w14:paraId="7BD27456" w14:textId="77777777" w:rsidR="00A97450" w:rsidRPr="00A97450" w:rsidRDefault="00A97450" w:rsidP="00A97450">
      <w:pPr>
        <w:spacing w:after="0" w:line="240" w:lineRule="auto"/>
      </w:pPr>
      <w:r w:rsidRPr="00A97450">
        <w:t>Une société évalue depuis plusieurs années une catégorie d’opérations selon une méthode comptable autorisée. Une autre méthode également autorisée permet désormais de présenter de façon plus pertinente sa performance et son patrimoine.</w:t>
      </w:r>
    </w:p>
    <w:p w14:paraId="53C60831" w14:textId="77777777" w:rsidR="00A97450" w:rsidRPr="00A97450" w:rsidRDefault="00A97450" w:rsidP="00A97450">
      <w:pPr>
        <w:spacing w:after="0" w:line="240" w:lineRule="auto"/>
        <w:rPr>
          <w:b/>
          <w:bCs/>
        </w:rPr>
      </w:pPr>
      <w:r w:rsidRPr="00A97450">
        <w:rPr>
          <w:b/>
          <w:bCs/>
        </w:rPr>
        <w:t>Question</w:t>
      </w:r>
    </w:p>
    <w:p w14:paraId="6F3530DD" w14:textId="4DF766BF" w:rsidR="00A97450" w:rsidRPr="00A97450" w:rsidRDefault="00A97450" w:rsidP="00A97450">
      <w:pPr>
        <w:spacing w:after="0" w:line="240" w:lineRule="auto"/>
      </w:pPr>
      <w:r w:rsidRPr="00A97450">
        <w:t>La société peut-elle modifier sa méthode comptable</w:t>
      </w:r>
      <w:r>
        <w:t> ?</w:t>
      </w:r>
    </w:p>
    <w:p w14:paraId="66A09228" w14:textId="77777777" w:rsidR="00A97450" w:rsidRPr="00A97450" w:rsidRDefault="00A97450" w:rsidP="00A97450">
      <w:pPr>
        <w:spacing w:after="0" w:line="240" w:lineRule="auto"/>
        <w:rPr>
          <w:b/>
          <w:bCs/>
        </w:rPr>
      </w:pPr>
      <w:r w:rsidRPr="00A97450">
        <w:rPr>
          <w:b/>
          <w:bCs/>
        </w:rPr>
        <w:t>Raisonnement</w:t>
      </w:r>
    </w:p>
    <w:p w14:paraId="3913FCBF" w14:textId="77777777" w:rsidR="00A97450" w:rsidRPr="00A97450" w:rsidRDefault="00A97450">
      <w:pPr>
        <w:numPr>
          <w:ilvl w:val="0"/>
          <w:numId w:val="44"/>
        </w:numPr>
        <w:spacing w:after="0" w:line="240" w:lineRule="auto"/>
      </w:pPr>
      <w:r w:rsidRPr="00A97450">
        <w:t xml:space="preserve">Le principe de </w:t>
      </w:r>
      <w:r w:rsidRPr="00A97450">
        <w:rPr>
          <w:b/>
          <w:bCs/>
        </w:rPr>
        <w:t>permanence des méthodes</w:t>
      </w:r>
      <w:r w:rsidRPr="00A97450">
        <w:t xml:space="preserve"> impose en principe de conserver les mêmes méthodes afin d’assurer la comparabilité des comptes.</w:t>
      </w:r>
    </w:p>
    <w:p w14:paraId="4ED3FAA9" w14:textId="77777777" w:rsidR="00A97450" w:rsidRPr="00A97450" w:rsidRDefault="00A97450">
      <w:pPr>
        <w:numPr>
          <w:ilvl w:val="0"/>
          <w:numId w:val="44"/>
        </w:numPr>
        <w:spacing w:after="0" w:line="240" w:lineRule="auto"/>
      </w:pPr>
      <w:r w:rsidRPr="00A97450">
        <w:t>Le PCG autorise cependant un changement à l’initiative de l’entité lorsqu’il existe plusieurs méthodes conformes et que la nouvelle méthode fournit une meilleure information financière.</w:t>
      </w:r>
    </w:p>
    <w:p w14:paraId="354405FA" w14:textId="77777777" w:rsidR="00A97450" w:rsidRPr="00A97450" w:rsidRDefault="00A97450">
      <w:pPr>
        <w:numPr>
          <w:ilvl w:val="0"/>
          <w:numId w:val="44"/>
        </w:numPr>
        <w:spacing w:after="0" w:line="240" w:lineRule="auto"/>
      </w:pPr>
      <w:r w:rsidRPr="00A97450">
        <w:t>Dans la situation donnée, ces conditions semblent réunies.</w:t>
      </w:r>
    </w:p>
    <w:p w14:paraId="0DA626D5" w14:textId="77777777" w:rsidR="00A97450" w:rsidRPr="00A97450" w:rsidRDefault="00A97450">
      <w:pPr>
        <w:numPr>
          <w:ilvl w:val="0"/>
          <w:numId w:val="44"/>
        </w:numPr>
        <w:spacing w:after="0" w:line="240" w:lineRule="auto"/>
      </w:pPr>
      <w:r w:rsidRPr="00A97450">
        <w:t>Le changement est donc possible et doit être traité selon les règles prévues pour les changements de méthodes, avec l’information appropriée dans l’annexe.</w:t>
      </w:r>
    </w:p>
    <w:p w14:paraId="3A2C7925" w14:textId="77777777" w:rsidR="00A97450" w:rsidRPr="00A97450" w:rsidRDefault="00A97450" w:rsidP="00A97450">
      <w:pPr>
        <w:spacing w:after="0" w:line="240" w:lineRule="auto"/>
        <w:rPr>
          <w:b/>
          <w:bCs/>
        </w:rPr>
      </w:pPr>
      <w:r w:rsidRPr="00A97450">
        <w:rPr>
          <w:b/>
          <w:bCs/>
        </w:rPr>
        <w:t>Conclusion</w:t>
      </w:r>
    </w:p>
    <w:p w14:paraId="57304A05" w14:textId="48951569" w:rsidR="00A97450" w:rsidRPr="00A97450" w:rsidRDefault="00A97450" w:rsidP="00A97450">
      <w:pPr>
        <w:spacing w:after="0" w:line="240" w:lineRule="auto"/>
      </w:pPr>
      <w:r w:rsidRPr="00A97450">
        <w:rPr>
          <w:b/>
          <w:bCs/>
        </w:rPr>
        <w:t>La permanence des méthodes n’interdit donc pas tout changement</w:t>
      </w:r>
      <w:r>
        <w:rPr>
          <w:b/>
          <w:bCs/>
        </w:rPr>
        <w:t> ;</w:t>
      </w:r>
      <w:r w:rsidRPr="00A97450">
        <w:rPr>
          <w:b/>
          <w:bCs/>
        </w:rPr>
        <w:t xml:space="preserve"> elle interdit les changements arbitraires.</w:t>
      </w:r>
    </w:p>
    <w:p w14:paraId="729489E4" w14:textId="77777777" w:rsidR="00A97450" w:rsidRPr="00A97450" w:rsidRDefault="00A97450" w:rsidP="00A97450">
      <w:pPr>
        <w:spacing w:after="0" w:line="240" w:lineRule="auto"/>
      </w:pPr>
      <w:r w:rsidRPr="00A97450">
        <w:pict w14:anchorId="1F2AC7CA">
          <v:rect id="_x0000_i3335" style="width:0;height:1.5pt" o:hralign="center" o:hrstd="t" o:hr="t" fillcolor="#a0a0a0" stroked="f"/>
        </w:pict>
      </w:r>
    </w:p>
    <w:p w14:paraId="477AD522" w14:textId="77777777" w:rsidR="00A97450" w:rsidRPr="00A97450" w:rsidRDefault="00A97450" w:rsidP="00A97450">
      <w:pPr>
        <w:pStyle w:val="Titre1"/>
      </w:pPr>
      <w:r w:rsidRPr="00A97450">
        <w:t>38. Méthode pour traiter une question sur un principe comptable</w:t>
      </w:r>
    </w:p>
    <w:p w14:paraId="4E4F4301" w14:textId="37265F3D" w:rsidR="00A97450" w:rsidRPr="00A97450" w:rsidRDefault="00A97450" w:rsidP="00A97450">
      <w:pPr>
        <w:spacing w:after="0" w:line="240" w:lineRule="auto"/>
      </w:pPr>
      <w:r w:rsidRPr="00A97450">
        <w:t xml:space="preserve">Lorsqu’une question demande de </w:t>
      </w:r>
      <w:r w:rsidRPr="00A97450">
        <w:rPr>
          <w:b/>
          <w:bCs/>
        </w:rPr>
        <w:t>justifier un traitement à l’aide d’un principe comptable</w:t>
      </w:r>
      <w:r>
        <w:t> :</w:t>
      </w:r>
    </w:p>
    <w:p w14:paraId="51CA6C68" w14:textId="77777777" w:rsidR="00A97450" w:rsidRPr="00A97450" w:rsidRDefault="00A97450" w:rsidP="00A97450">
      <w:pPr>
        <w:pStyle w:val="Titre1"/>
      </w:pPr>
      <w:r w:rsidRPr="00A97450">
        <w:t>1. Identifier le problème</w:t>
      </w:r>
    </w:p>
    <w:p w14:paraId="5DADB2F6" w14:textId="34FF5155" w:rsidR="00A97450" w:rsidRPr="00A97450" w:rsidRDefault="00A97450" w:rsidP="00A97450">
      <w:pPr>
        <w:spacing w:after="0" w:line="240" w:lineRule="auto"/>
      </w:pPr>
      <w:r w:rsidRPr="00A97450">
        <w:t>Exemple</w:t>
      </w:r>
      <w:r>
        <w:t> :</w:t>
      </w:r>
    </w:p>
    <w:p w14:paraId="6BB777C2" w14:textId="6A4CDE36" w:rsidR="00A97450" w:rsidRPr="00A97450" w:rsidRDefault="00A97450">
      <w:pPr>
        <w:numPr>
          <w:ilvl w:val="0"/>
          <w:numId w:val="45"/>
        </w:numPr>
        <w:spacing w:after="0" w:line="240" w:lineRule="auto"/>
      </w:pPr>
      <w:r w:rsidRPr="00A97450">
        <w:t>perte probable</w:t>
      </w:r>
      <w:r>
        <w:t> ;</w:t>
      </w:r>
    </w:p>
    <w:p w14:paraId="787A38FF" w14:textId="666F8D49" w:rsidR="00A97450" w:rsidRPr="00A97450" w:rsidRDefault="00A97450">
      <w:pPr>
        <w:numPr>
          <w:ilvl w:val="0"/>
          <w:numId w:val="45"/>
        </w:numPr>
        <w:spacing w:after="0" w:line="240" w:lineRule="auto"/>
      </w:pPr>
      <w:r w:rsidRPr="00A97450">
        <w:t>opération concernant un autre exercice</w:t>
      </w:r>
      <w:r>
        <w:t> ;</w:t>
      </w:r>
    </w:p>
    <w:p w14:paraId="03E981A8" w14:textId="78EAB540" w:rsidR="00A97450" w:rsidRPr="00A97450" w:rsidRDefault="00A97450">
      <w:pPr>
        <w:numPr>
          <w:ilvl w:val="0"/>
          <w:numId w:val="45"/>
        </w:numPr>
        <w:spacing w:after="0" w:line="240" w:lineRule="auto"/>
      </w:pPr>
      <w:r w:rsidRPr="00A97450">
        <w:t>changement de méthode</w:t>
      </w:r>
      <w:r>
        <w:t> ;</w:t>
      </w:r>
    </w:p>
    <w:p w14:paraId="301FB69D" w14:textId="0FD7099E" w:rsidR="00A97450" w:rsidRPr="00A97450" w:rsidRDefault="00A97450">
      <w:pPr>
        <w:numPr>
          <w:ilvl w:val="0"/>
          <w:numId w:val="45"/>
        </w:numPr>
        <w:spacing w:after="0" w:line="240" w:lineRule="auto"/>
      </w:pPr>
      <w:r w:rsidRPr="00A97450">
        <w:t>compensation</w:t>
      </w:r>
      <w:r>
        <w:t> ;</w:t>
      </w:r>
    </w:p>
    <w:p w14:paraId="4BAD81CC" w14:textId="77777777" w:rsidR="00A97450" w:rsidRPr="00A97450" w:rsidRDefault="00A97450">
      <w:pPr>
        <w:numPr>
          <w:ilvl w:val="0"/>
          <w:numId w:val="45"/>
        </w:numPr>
        <w:spacing w:after="0" w:line="240" w:lineRule="auto"/>
      </w:pPr>
      <w:r w:rsidRPr="00A97450">
        <w:t>information importante.</w:t>
      </w:r>
    </w:p>
    <w:p w14:paraId="5A594400" w14:textId="77777777" w:rsidR="00A97450" w:rsidRPr="00A97450" w:rsidRDefault="00A97450" w:rsidP="00A97450">
      <w:pPr>
        <w:pStyle w:val="Titre1"/>
      </w:pPr>
      <w:r w:rsidRPr="00A97450">
        <w:t>2. Nommer précisément le principe</w:t>
      </w:r>
    </w:p>
    <w:p w14:paraId="2D92AC7C" w14:textId="48B3CA42" w:rsidR="00A97450" w:rsidRPr="00A97450" w:rsidRDefault="00A97450" w:rsidP="00A97450">
      <w:pPr>
        <w:spacing w:after="0" w:line="240" w:lineRule="auto"/>
      </w:pPr>
      <w:r w:rsidRPr="00A97450">
        <w:t>Exemple</w:t>
      </w:r>
      <w:r>
        <w:t> :</w:t>
      </w:r>
    </w:p>
    <w:p w14:paraId="6EEFEDE1" w14:textId="77777777" w:rsidR="00A97450" w:rsidRPr="00A97450" w:rsidRDefault="00A97450" w:rsidP="00A97450">
      <w:pPr>
        <w:spacing w:after="0" w:line="240" w:lineRule="auto"/>
      </w:pPr>
      <w:r w:rsidRPr="00A97450">
        <w:t>principe de prudence.</w:t>
      </w:r>
    </w:p>
    <w:p w14:paraId="0585D2F8" w14:textId="77777777" w:rsidR="00A97450" w:rsidRPr="00A97450" w:rsidRDefault="00A97450" w:rsidP="00A97450">
      <w:pPr>
        <w:pStyle w:val="Titre1"/>
      </w:pPr>
      <w:r w:rsidRPr="00A97450">
        <w:t>3. Expliquer le principe</w:t>
      </w:r>
    </w:p>
    <w:p w14:paraId="79FB1BE1" w14:textId="77777777" w:rsidR="00A97450" w:rsidRPr="00A97450" w:rsidRDefault="00A97450" w:rsidP="00A97450">
      <w:pPr>
        <w:spacing w:after="0" w:line="240" w:lineRule="auto"/>
      </w:pPr>
      <w:r w:rsidRPr="00A97450">
        <w:t>Ne pas se contenter de le citer.</w:t>
      </w:r>
    </w:p>
    <w:p w14:paraId="316971E3" w14:textId="77777777" w:rsidR="00A97450" w:rsidRPr="00A97450" w:rsidRDefault="00A97450" w:rsidP="00A97450">
      <w:pPr>
        <w:pStyle w:val="Titre1"/>
      </w:pPr>
      <w:r w:rsidRPr="00A97450">
        <w:t>4. L’appliquer à la situation</w:t>
      </w:r>
    </w:p>
    <w:p w14:paraId="3542E1B7" w14:textId="5B215714" w:rsidR="00A97450" w:rsidRPr="00A97450" w:rsidRDefault="00A97450" w:rsidP="00A97450">
      <w:pPr>
        <w:spacing w:after="0" w:line="240" w:lineRule="auto"/>
      </w:pPr>
      <w:r w:rsidRPr="00A97450">
        <w:t>Exemple</w:t>
      </w:r>
      <w:r>
        <w:t> :</w:t>
      </w:r>
    </w:p>
    <w:p w14:paraId="61D9F18F" w14:textId="77777777" w:rsidR="00A97450" w:rsidRPr="00A97450" w:rsidRDefault="00A97450" w:rsidP="00A97450">
      <w:pPr>
        <w:spacing w:after="0" w:line="240" w:lineRule="auto"/>
      </w:pPr>
      <w:r w:rsidRPr="00A97450">
        <w:lastRenderedPageBreak/>
        <w:t>La perte de valeur doit être prise en compte dès lors que les conditions de comptabilisation d’une dépréciation sont réunies.</w:t>
      </w:r>
    </w:p>
    <w:p w14:paraId="0114F11E" w14:textId="77777777" w:rsidR="00A97450" w:rsidRPr="00A97450" w:rsidRDefault="00A97450" w:rsidP="00A97450">
      <w:pPr>
        <w:pStyle w:val="Titre1"/>
      </w:pPr>
      <w:r w:rsidRPr="00A97450">
        <w:t>5. Conclure</w:t>
      </w:r>
    </w:p>
    <w:p w14:paraId="1B72AA2C" w14:textId="77777777" w:rsidR="00A97450" w:rsidRPr="00A97450" w:rsidRDefault="00A97450" w:rsidP="00A97450">
      <w:pPr>
        <w:spacing w:after="0" w:line="240" w:lineRule="auto"/>
      </w:pPr>
      <w:r w:rsidRPr="00A97450">
        <w:t>Expliquer la conséquence comptable.</w:t>
      </w:r>
    </w:p>
    <w:p w14:paraId="18F71C26" w14:textId="77777777" w:rsidR="00A97450" w:rsidRPr="00A97450" w:rsidRDefault="00A97450" w:rsidP="00A97450">
      <w:pPr>
        <w:spacing w:after="0" w:line="240" w:lineRule="auto"/>
      </w:pPr>
      <w:r w:rsidRPr="00A97450">
        <w:t xml:space="preserve">Le rapport du jury insiste précisément sur la capacité à </w:t>
      </w:r>
      <w:r w:rsidRPr="00A97450">
        <w:rPr>
          <w:b/>
          <w:bCs/>
        </w:rPr>
        <w:t>justifier les traitements comptables</w:t>
      </w:r>
      <w:r w:rsidRPr="00A97450">
        <w:t xml:space="preserve"> à partir des fondements de la discipline.</w:t>
      </w:r>
    </w:p>
    <w:p w14:paraId="5AFFABB1" w14:textId="77777777" w:rsidR="00A97450" w:rsidRPr="00A97450" w:rsidRDefault="00A97450" w:rsidP="00A97450">
      <w:pPr>
        <w:spacing w:after="0" w:line="240" w:lineRule="auto"/>
      </w:pPr>
      <w:r w:rsidRPr="00A97450">
        <w:pict w14:anchorId="473F4A01">
          <v:rect id="_x0000_i3336" style="width:0;height:1.5pt" o:hralign="center" o:hrstd="t" o:hr="t" fillcolor="#a0a0a0" stroked="f"/>
        </w:pict>
      </w:r>
    </w:p>
    <w:p w14:paraId="1D6A8B3E" w14:textId="77777777" w:rsidR="00A97450" w:rsidRPr="00A97450" w:rsidRDefault="00A97450" w:rsidP="00A97450">
      <w:pPr>
        <w:pStyle w:val="Titre1"/>
      </w:pPr>
      <w:r w:rsidRPr="00A97450">
        <w:t>39. Erreurs à éviter</w:t>
      </w:r>
    </w:p>
    <w:p w14:paraId="1B6C94E7" w14:textId="77777777" w:rsidR="00A97450" w:rsidRPr="00A97450" w:rsidRDefault="00A97450" w:rsidP="00A97450">
      <w:pPr>
        <w:spacing w:after="0" w:line="240" w:lineRule="auto"/>
        <w:rPr>
          <w:b/>
          <w:bCs/>
        </w:rPr>
      </w:pPr>
      <w:r w:rsidRPr="00A97450">
        <w:rPr>
          <w:b/>
          <w:bCs/>
        </w:rPr>
        <w:t>Confondre image fidèle et sincérité</w:t>
      </w:r>
    </w:p>
    <w:p w14:paraId="2F99316B" w14:textId="470EE950" w:rsidR="00A97450" w:rsidRPr="00A97450" w:rsidRDefault="00A97450" w:rsidP="00A97450">
      <w:pPr>
        <w:spacing w:after="0" w:line="240" w:lineRule="auto"/>
      </w:pPr>
      <w:r w:rsidRPr="00A97450">
        <w:t>L’image fidèle est la finalité de la représentation comptable</w:t>
      </w:r>
      <w:r>
        <w:t> ;</w:t>
      </w:r>
      <w:r w:rsidRPr="00A97450">
        <w:t xml:space="preserve"> la sincérité concerne la manière dont les règles sont appliquées.</w:t>
      </w:r>
    </w:p>
    <w:p w14:paraId="2309A4FF" w14:textId="39B39107" w:rsidR="00A97450" w:rsidRPr="00A97450" w:rsidRDefault="00A97450" w:rsidP="00A97450">
      <w:pPr>
        <w:spacing w:after="0" w:line="240" w:lineRule="auto"/>
        <w:rPr>
          <w:b/>
          <w:bCs/>
        </w:rPr>
      </w:pPr>
      <w:r w:rsidRPr="00A97450">
        <w:rPr>
          <w:b/>
          <w:bCs/>
        </w:rPr>
        <w:t xml:space="preserve">Dire que prudence signifie </w:t>
      </w:r>
      <w:r>
        <w:rPr>
          <w:b/>
          <w:bCs/>
        </w:rPr>
        <w:t>« </w:t>
      </w:r>
      <w:r w:rsidRPr="00A97450">
        <w:rPr>
          <w:b/>
          <w:bCs/>
        </w:rPr>
        <w:t>minimiser le bénéfice</w:t>
      </w:r>
      <w:r>
        <w:rPr>
          <w:b/>
          <w:bCs/>
        </w:rPr>
        <w:t> »</w:t>
      </w:r>
    </w:p>
    <w:p w14:paraId="440B9D48" w14:textId="77777777" w:rsidR="00A97450" w:rsidRPr="00A97450" w:rsidRDefault="00A97450" w:rsidP="00A97450">
      <w:pPr>
        <w:spacing w:after="0" w:line="240" w:lineRule="auto"/>
      </w:pPr>
      <w:r w:rsidRPr="00A97450">
        <w:t>Faux. La prudence ne justifie pas une sous-évaluation volontaire des comptes.</w:t>
      </w:r>
    </w:p>
    <w:p w14:paraId="0C9DBA69" w14:textId="77777777" w:rsidR="00A97450" w:rsidRPr="00A97450" w:rsidRDefault="00A97450" w:rsidP="00A97450">
      <w:pPr>
        <w:spacing w:after="0" w:line="240" w:lineRule="auto"/>
        <w:rPr>
          <w:b/>
          <w:bCs/>
        </w:rPr>
      </w:pPr>
      <w:r w:rsidRPr="00A97450">
        <w:rPr>
          <w:b/>
          <w:bCs/>
        </w:rPr>
        <w:t>Dire qu’une méthode ne peut jamais être changée</w:t>
      </w:r>
    </w:p>
    <w:p w14:paraId="1A050D29" w14:textId="77777777" w:rsidR="00A97450" w:rsidRPr="00A97450" w:rsidRDefault="00A97450" w:rsidP="00A97450">
      <w:pPr>
        <w:spacing w:after="0" w:line="240" w:lineRule="auto"/>
      </w:pPr>
      <w:r w:rsidRPr="00A97450">
        <w:t>Faux. Le PCG prévoit précisément les conditions dans lesquelles un changement est possible.</w:t>
      </w:r>
    </w:p>
    <w:p w14:paraId="4ED6AE84" w14:textId="77777777" w:rsidR="00A97450" w:rsidRPr="00A97450" w:rsidRDefault="00A97450" w:rsidP="00A97450">
      <w:pPr>
        <w:spacing w:after="0" w:line="240" w:lineRule="auto"/>
        <w:rPr>
          <w:b/>
          <w:bCs/>
        </w:rPr>
      </w:pPr>
      <w:r w:rsidRPr="00A97450">
        <w:rPr>
          <w:b/>
          <w:bCs/>
        </w:rPr>
        <w:t>Confondre changement de méthode et changement d’estimation</w:t>
      </w:r>
    </w:p>
    <w:p w14:paraId="1CF1E8E1" w14:textId="471D79CE" w:rsidR="00A97450" w:rsidRPr="00A97450" w:rsidRDefault="00A97450" w:rsidP="00A97450">
      <w:pPr>
        <w:spacing w:after="0" w:line="240" w:lineRule="auto"/>
      </w:pPr>
      <w:r w:rsidRPr="00A97450">
        <w:t>Le premier concerne la méthode utilisée</w:t>
      </w:r>
      <w:r>
        <w:t> ;</w:t>
      </w:r>
      <w:r w:rsidRPr="00A97450">
        <w:t xml:space="preserve"> le second résulte du jugement porté sur des informations nouvelles ou des circonstances nouvelles.</w:t>
      </w:r>
    </w:p>
    <w:p w14:paraId="077FBAEF" w14:textId="77777777" w:rsidR="00A97450" w:rsidRPr="00A97450" w:rsidRDefault="00A97450" w:rsidP="00A97450">
      <w:pPr>
        <w:spacing w:after="0" w:line="240" w:lineRule="auto"/>
        <w:rPr>
          <w:b/>
          <w:bCs/>
        </w:rPr>
      </w:pPr>
      <w:r w:rsidRPr="00A97450">
        <w:rPr>
          <w:b/>
          <w:bCs/>
        </w:rPr>
        <w:t>Confondre erreur et nouvelle information</w:t>
      </w:r>
    </w:p>
    <w:p w14:paraId="4A332955" w14:textId="77777777" w:rsidR="00A97450" w:rsidRPr="00A97450" w:rsidRDefault="00A97450" w:rsidP="00A97450">
      <w:pPr>
        <w:spacing w:after="0" w:line="240" w:lineRule="auto"/>
      </w:pPr>
      <w:r w:rsidRPr="00A97450">
        <w:t>Une estimation raisonnable qui se révèle ultérieurement inexacte n’était pas nécessairement une erreur.</w:t>
      </w:r>
    </w:p>
    <w:p w14:paraId="27C578CC" w14:textId="77777777" w:rsidR="00A97450" w:rsidRPr="00A97450" w:rsidRDefault="00A97450" w:rsidP="00A97450">
      <w:pPr>
        <w:spacing w:after="0" w:line="240" w:lineRule="auto"/>
        <w:rPr>
          <w:b/>
          <w:bCs/>
        </w:rPr>
      </w:pPr>
      <w:r w:rsidRPr="00A97450">
        <w:rPr>
          <w:b/>
          <w:bCs/>
        </w:rPr>
        <w:t>Dire que toutes les entreprises françaises utilisent les IFRS</w:t>
      </w:r>
    </w:p>
    <w:p w14:paraId="5DB7F88F" w14:textId="77777777" w:rsidR="00A97450" w:rsidRPr="00A97450" w:rsidRDefault="00A97450" w:rsidP="00A97450">
      <w:pPr>
        <w:spacing w:after="0" w:line="240" w:lineRule="auto"/>
      </w:pPr>
      <w:r w:rsidRPr="00A97450">
        <w:t>Faux.</w:t>
      </w:r>
    </w:p>
    <w:p w14:paraId="75C7669B" w14:textId="77777777" w:rsidR="00A97450" w:rsidRPr="00A97450" w:rsidRDefault="00A97450" w:rsidP="00A97450">
      <w:pPr>
        <w:spacing w:after="0" w:line="240" w:lineRule="auto"/>
        <w:rPr>
          <w:b/>
          <w:bCs/>
        </w:rPr>
      </w:pPr>
      <w:r w:rsidRPr="00A97450">
        <w:rPr>
          <w:b/>
          <w:bCs/>
        </w:rPr>
        <w:t>Dire que les IFRS remplacent le PCG</w:t>
      </w:r>
    </w:p>
    <w:p w14:paraId="7DB82E48" w14:textId="77777777" w:rsidR="00A97450" w:rsidRPr="00A97450" w:rsidRDefault="00A97450" w:rsidP="00A97450">
      <w:pPr>
        <w:spacing w:after="0" w:line="240" w:lineRule="auto"/>
      </w:pPr>
      <w:r w:rsidRPr="00A97450">
        <w:t>Faux.</w:t>
      </w:r>
    </w:p>
    <w:p w14:paraId="1DD4889A" w14:textId="77777777" w:rsidR="00A97450" w:rsidRPr="00A97450" w:rsidRDefault="00A97450" w:rsidP="00A97450">
      <w:pPr>
        <w:spacing w:after="0" w:line="240" w:lineRule="auto"/>
        <w:rPr>
          <w:b/>
          <w:bCs/>
        </w:rPr>
      </w:pPr>
      <w:r w:rsidRPr="00A97450">
        <w:rPr>
          <w:b/>
          <w:bCs/>
        </w:rPr>
        <w:t>Confondre IASB et IFRS Foundation</w:t>
      </w:r>
    </w:p>
    <w:p w14:paraId="7D894CF0" w14:textId="77777777" w:rsidR="00A97450" w:rsidRPr="00A97450" w:rsidRDefault="00A97450" w:rsidP="00A97450">
      <w:pPr>
        <w:spacing w:after="0" w:line="240" w:lineRule="auto"/>
      </w:pPr>
      <w:r w:rsidRPr="00A97450">
        <w:t>L’IASB est le normalisateur comptable placé au sein de l’IFRS Foundation.</w:t>
      </w:r>
    </w:p>
    <w:p w14:paraId="1759A0F4" w14:textId="77777777" w:rsidR="00A97450" w:rsidRPr="00A97450" w:rsidRDefault="00A97450" w:rsidP="00A97450">
      <w:pPr>
        <w:spacing w:after="0" w:line="240" w:lineRule="auto"/>
        <w:rPr>
          <w:b/>
          <w:bCs/>
        </w:rPr>
      </w:pPr>
      <w:r w:rsidRPr="00A97450">
        <w:rPr>
          <w:b/>
          <w:bCs/>
        </w:rPr>
        <w:t>Confondre IAS et IFRS</w:t>
      </w:r>
    </w:p>
    <w:p w14:paraId="64807D97" w14:textId="56E5B69D" w:rsidR="00A97450" w:rsidRPr="00A97450" w:rsidRDefault="00A97450" w:rsidP="00A97450">
      <w:pPr>
        <w:spacing w:after="0" w:line="240" w:lineRule="auto"/>
      </w:pPr>
      <w:r w:rsidRPr="00A97450">
        <w:t>Les IAS sont les normes historiques toujours applicables lorsqu’elles n’ont pas été remplacées</w:t>
      </w:r>
      <w:r>
        <w:t> ;</w:t>
      </w:r>
      <w:r w:rsidRPr="00A97450">
        <w:t xml:space="preserve"> les IFRS sont les normes publiées sous la nouvelle dénomination par l’IASB.</w:t>
      </w:r>
    </w:p>
    <w:p w14:paraId="305EF89A" w14:textId="77777777" w:rsidR="00A97450" w:rsidRPr="00A97450" w:rsidRDefault="00A97450" w:rsidP="00A97450">
      <w:pPr>
        <w:spacing w:after="0" w:line="240" w:lineRule="auto"/>
        <w:rPr>
          <w:b/>
          <w:bCs/>
        </w:rPr>
      </w:pPr>
      <w:r w:rsidRPr="00A97450">
        <w:rPr>
          <w:b/>
          <w:bCs/>
        </w:rPr>
        <w:t>Confondre IFRIC et IFRS</w:t>
      </w:r>
    </w:p>
    <w:p w14:paraId="4673F141" w14:textId="77777777" w:rsidR="00A97450" w:rsidRPr="00A97450" w:rsidRDefault="00A97450" w:rsidP="00A97450">
      <w:pPr>
        <w:spacing w:after="0" w:line="240" w:lineRule="auto"/>
      </w:pPr>
      <w:r w:rsidRPr="00A97450">
        <w:t>Les interprétations complètent l’application du référentiel mais ne sont pas simplement une autre appellation des normes.</w:t>
      </w:r>
    </w:p>
    <w:p w14:paraId="68FB2520" w14:textId="77777777" w:rsidR="00A97450" w:rsidRPr="00A97450" w:rsidRDefault="00A97450" w:rsidP="00A97450">
      <w:pPr>
        <w:spacing w:after="0" w:line="240" w:lineRule="auto"/>
        <w:rPr>
          <w:b/>
          <w:bCs/>
        </w:rPr>
      </w:pPr>
      <w:r w:rsidRPr="00A97450">
        <w:rPr>
          <w:b/>
          <w:bCs/>
        </w:rPr>
        <w:t>Confondre IFRS et US GAAP</w:t>
      </w:r>
    </w:p>
    <w:p w14:paraId="05CC26A7" w14:textId="77777777" w:rsidR="00A97450" w:rsidRPr="00A97450" w:rsidRDefault="00A97450" w:rsidP="00A97450">
      <w:pPr>
        <w:spacing w:after="0" w:line="240" w:lineRule="auto"/>
      </w:pPr>
      <w:r w:rsidRPr="00A97450">
        <w:t>Ce sont deux référentiels différents.</w:t>
      </w:r>
    </w:p>
    <w:p w14:paraId="03F388F9" w14:textId="77777777" w:rsidR="00A97450" w:rsidRPr="00A97450" w:rsidRDefault="00A97450" w:rsidP="00A97450">
      <w:pPr>
        <w:spacing w:after="0" w:line="240" w:lineRule="auto"/>
        <w:rPr>
          <w:b/>
          <w:bCs/>
        </w:rPr>
      </w:pPr>
      <w:r w:rsidRPr="00A97450">
        <w:rPr>
          <w:b/>
          <w:bCs/>
        </w:rPr>
        <w:t>Penser qu’une IFRS publiée par l’IASB s’applique immédiatement dans l’Union européenne</w:t>
      </w:r>
    </w:p>
    <w:p w14:paraId="30DA63B1" w14:textId="77777777" w:rsidR="00A97450" w:rsidRPr="00A97450" w:rsidRDefault="00A97450" w:rsidP="00A97450">
      <w:pPr>
        <w:spacing w:after="0" w:line="240" w:lineRule="auto"/>
      </w:pPr>
      <w:r w:rsidRPr="00A97450">
        <w:t>Elle doit passer par le mécanisme européen d’adoption.</w:t>
      </w:r>
    </w:p>
    <w:p w14:paraId="452F4FB9" w14:textId="77777777" w:rsidR="00A97450" w:rsidRPr="00A97450" w:rsidRDefault="00A97450" w:rsidP="00A97450">
      <w:pPr>
        <w:spacing w:after="0" w:line="240" w:lineRule="auto"/>
      </w:pPr>
      <w:r w:rsidRPr="00A97450">
        <w:pict w14:anchorId="6206D5FD">
          <v:rect id="_x0000_i3337" style="width:0;height:1.5pt" o:hralign="center" o:hrstd="t" o:hr="t" fillcolor="#a0a0a0" stroked="f"/>
        </w:pict>
      </w:r>
    </w:p>
    <w:p w14:paraId="43123E8E" w14:textId="77777777" w:rsidR="00A97450" w:rsidRPr="00A97450" w:rsidRDefault="00A97450" w:rsidP="00A97450">
      <w:pPr>
        <w:pStyle w:val="Titre1"/>
      </w:pPr>
      <w:r w:rsidRPr="00A97450">
        <w:t>40. Mots-clés</w:t>
      </w:r>
    </w:p>
    <w:tbl>
      <w:tblPr>
        <w:tblStyle w:val="Grilledutableau"/>
        <w:tblW w:w="0" w:type="auto"/>
        <w:tblLook w:val="04A0" w:firstRow="1" w:lastRow="0" w:firstColumn="1" w:lastColumn="0" w:noHBand="0" w:noVBand="1"/>
      </w:tblPr>
      <w:tblGrid>
        <w:gridCol w:w="2929"/>
        <w:gridCol w:w="7527"/>
      </w:tblGrid>
      <w:tr w:rsidR="00A97450" w:rsidRPr="00A97450" w14:paraId="6E56A58E" w14:textId="77777777" w:rsidTr="00A97450">
        <w:trPr>
          <w:tblHeader/>
        </w:trPr>
        <w:tc>
          <w:tcPr>
            <w:tcW w:w="0" w:type="auto"/>
            <w:hideMark/>
          </w:tcPr>
          <w:p w14:paraId="2DF698F7" w14:textId="77777777" w:rsidR="00A97450" w:rsidRPr="00A97450" w:rsidRDefault="00A97450" w:rsidP="00A97450">
            <w:pPr>
              <w:jc w:val="left"/>
              <w:rPr>
                <w:rFonts w:ascii="Calibri" w:hAnsi="Calibri" w:cs="Calibri"/>
                <w:b/>
                <w:bCs/>
                <w:sz w:val="20"/>
              </w:rPr>
            </w:pPr>
            <w:r w:rsidRPr="00A97450">
              <w:rPr>
                <w:rFonts w:ascii="Calibri" w:hAnsi="Calibri" w:cs="Calibri"/>
                <w:b/>
                <w:bCs/>
                <w:sz w:val="20"/>
              </w:rPr>
              <w:t>Mot-clé</w:t>
            </w:r>
          </w:p>
        </w:tc>
        <w:tc>
          <w:tcPr>
            <w:tcW w:w="0" w:type="auto"/>
            <w:hideMark/>
          </w:tcPr>
          <w:p w14:paraId="68570B3A" w14:textId="77777777" w:rsidR="00A97450" w:rsidRPr="00A97450" w:rsidRDefault="00A97450" w:rsidP="00A97450">
            <w:pPr>
              <w:jc w:val="left"/>
              <w:rPr>
                <w:rFonts w:ascii="Calibri" w:hAnsi="Calibri" w:cs="Calibri"/>
                <w:b/>
                <w:bCs/>
                <w:sz w:val="20"/>
              </w:rPr>
            </w:pPr>
            <w:r w:rsidRPr="00A97450">
              <w:rPr>
                <w:rFonts w:ascii="Calibri" w:hAnsi="Calibri" w:cs="Calibri"/>
                <w:b/>
                <w:bCs/>
                <w:sz w:val="20"/>
              </w:rPr>
              <w:t>Définition essentielle</w:t>
            </w:r>
          </w:p>
        </w:tc>
      </w:tr>
      <w:tr w:rsidR="00A97450" w:rsidRPr="00A97450" w14:paraId="71A96FD7" w14:textId="77777777" w:rsidTr="00A97450">
        <w:tc>
          <w:tcPr>
            <w:tcW w:w="0" w:type="auto"/>
            <w:hideMark/>
          </w:tcPr>
          <w:p w14:paraId="0D1A3199" w14:textId="77777777" w:rsidR="00A97450" w:rsidRPr="00A97450" w:rsidRDefault="00A97450" w:rsidP="00A97450">
            <w:pPr>
              <w:jc w:val="left"/>
              <w:rPr>
                <w:rFonts w:ascii="Calibri" w:hAnsi="Calibri" w:cs="Calibri"/>
                <w:sz w:val="20"/>
              </w:rPr>
            </w:pPr>
            <w:r w:rsidRPr="00A97450">
              <w:rPr>
                <w:rFonts w:ascii="Calibri" w:hAnsi="Calibri" w:cs="Calibri"/>
                <w:b/>
                <w:bCs/>
                <w:sz w:val="20"/>
              </w:rPr>
              <w:t>Normalisation comptable</w:t>
            </w:r>
          </w:p>
        </w:tc>
        <w:tc>
          <w:tcPr>
            <w:tcW w:w="0" w:type="auto"/>
            <w:hideMark/>
          </w:tcPr>
          <w:p w14:paraId="40ED7B8C" w14:textId="77777777" w:rsidR="00A97450" w:rsidRPr="00A97450" w:rsidRDefault="00A97450" w:rsidP="00A97450">
            <w:pPr>
              <w:jc w:val="left"/>
              <w:rPr>
                <w:rFonts w:ascii="Calibri" w:hAnsi="Calibri" w:cs="Calibri"/>
                <w:sz w:val="20"/>
              </w:rPr>
            </w:pPr>
            <w:r w:rsidRPr="00A97450">
              <w:rPr>
                <w:rFonts w:ascii="Calibri" w:hAnsi="Calibri" w:cs="Calibri"/>
                <w:sz w:val="20"/>
              </w:rPr>
              <w:t>Élaboration de règles communes encadrant la production de l’information comptable.</w:t>
            </w:r>
          </w:p>
        </w:tc>
      </w:tr>
      <w:tr w:rsidR="00A97450" w:rsidRPr="00A97450" w14:paraId="03ED803D" w14:textId="77777777" w:rsidTr="00A97450">
        <w:tc>
          <w:tcPr>
            <w:tcW w:w="0" w:type="auto"/>
            <w:hideMark/>
          </w:tcPr>
          <w:p w14:paraId="0C347DF9" w14:textId="77777777" w:rsidR="00A97450" w:rsidRPr="00A97450" w:rsidRDefault="00A97450" w:rsidP="00A97450">
            <w:pPr>
              <w:jc w:val="left"/>
              <w:rPr>
                <w:rFonts w:ascii="Calibri" w:hAnsi="Calibri" w:cs="Calibri"/>
                <w:sz w:val="20"/>
              </w:rPr>
            </w:pPr>
            <w:r w:rsidRPr="00A97450">
              <w:rPr>
                <w:rFonts w:ascii="Calibri" w:hAnsi="Calibri" w:cs="Calibri"/>
                <w:b/>
                <w:bCs/>
                <w:sz w:val="20"/>
              </w:rPr>
              <w:t>ANC</w:t>
            </w:r>
          </w:p>
        </w:tc>
        <w:tc>
          <w:tcPr>
            <w:tcW w:w="0" w:type="auto"/>
            <w:hideMark/>
          </w:tcPr>
          <w:p w14:paraId="54D17E77" w14:textId="77777777" w:rsidR="00A97450" w:rsidRPr="00A97450" w:rsidRDefault="00A97450" w:rsidP="00A97450">
            <w:pPr>
              <w:jc w:val="left"/>
              <w:rPr>
                <w:rFonts w:ascii="Calibri" w:hAnsi="Calibri" w:cs="Calibri"/>
                <w:sz w:val="20"/>
              </w:rPr>
            </w:pPr>
            <w:r w:rsidRPr="00A97450">
              <w:rPr>
                <w:rFonts w:ascii="Calibri" w:hAnsi="Calibri" w:cs="Calibri"/>
                <w:sz w:val="20"/>
              </w:rPr>
              <w:t>Autorité des normes comptables, normalisateur français.</w:t>
            </w:r>
          </w:p>
        </w:tc>
      </w:tr>
      <w:tr w:rsidR="00A97450" w:rsidRPr="00A97450" w14:paraId="2E87432A" w14:textId="77777777" w:rsidTr="00A97450">
        <w:tc>
          <w:tcPr>
            <w:tcW w:w="0" w:type="auto"/>
            <w:hideMark/>
          </w:tcPr>
          <w:p w14:paraId="495D51F1" w14:textId="77777777" w:rsidR="00A97450" w:rsidRPr="00A97450" w:rsidRDefault="00A97450" w:rsidP="00A97450">
            <w:pPr>
              <w:jc w:val="left"/>
              <w:rPr>
                <w:rFonts w:ascii="Calibri" w:hAnsi="Calibri" w:cs="Calibri"/>
                <w:sz w:val="20"/>
              </w:rPr>
            </w:pPr>
            <w:r w:rsidRPr="00A97450">
              <w:rPr>
                <w:rFonts w:ascii="Calibri" w:hAnsi="Calibri" w:cs="Calibri"/>
                <w:b/>
                <w:bCs/>
                <w:sz w:val="20"/>
              </w:rPr>
              <w:t>PCG</w:t>
            </w:r>
          </w:p>
        </w:tc>
        <w:tc>
          <w:tcPr>
            <w:tcW w:w="0" w:type="auto"/>
            <w:hideMark/>
          </w:tcPr>
          <w:p w14:paraId="1C1D63B8" w14:textId="77777777" w:rsidR="00A97450" w:rsidRPr="00A97450" w:rsidRDefault="00A97450" w:rsidP="00A97450">
            <w:pPr>
              <w:jc w:val="left"/>
              <w:rPr>
                <w:rFonts w:ascii="Calibri" w:hAnsi="Calibri" w:cs="Calibri"/>
                <w:sz w:val="20"/>
              </w:rPr>
            </w:pPr>
            <w:r w:rsidRPr="00A97450">
              <w:rPr>
                <w:rFonts w:ascii="Calibri" w:hAnsi="Calibri" w:cs="Calibri"/>
                <w:sz w:val="20"/>
              </w:rPr>
              <w:t>Plan comptable général.</w:t>
            </w:r>
          </w:p>
        </w:tc>
      </w:tr>
      <w:tr w:rsidR="00A97450" w:rsidRPr="00A97450" w14:paraId="4A8FEE04" w14:textId="77777777" w:rsidTr="00A97450">
        <w:tc>
          <w:tcPr>
            <w:tcW w:w="0" w:type="auto"/>
            <w:hideMark/>
          </w:tcPr>
          <w:p w14:paraId="16287A60" w14:textId="77777777" w:rsidR="00A97450" w:rsidRPr="00A97450" w:rsidRDefault="00A97450" w:rsidP="00A97450">
            <w:pPr>
              <w:jc w:val="left"/>
              <w:rPr>
                <w:rFonts w:ascii="Calibri" w:hAnsi="Calibri" w:cs="Calibri"/>
                <w:sz w:val="20"/>
              </w:rPr>
            </w:pPr>
            <w:r w:rsidRPr="00A97450">
              <w:rPr>
                <w:rFonts w:ascii="Calibri" w:hAnsi="Calibri" w:cs="Calibri"/>
                <w:b/>
                <w:bCs/>
                <w:sz w:val="20"/>
              </w:rPr>
              <w:t>Recueil des normes comptables françaises</w:t>
            </w:r>
          </w:p>
        </w:tc>
        <w:tc>
          <w:tcPr>
            <w:tcW w:w="0" w:type="auto"/>
            <w:hideMark/>
          </w:tcPr>
          <w:p w14:paraId="29EB7FBB" w14:textId="77777777" w:rsidR="00A97450" w:rsidRPr="00A97450" w:rsidRDefault="00A97450" w:rsidP="00A97450">
            <w:pPr>
              <w:jc w:val="left"/>
              <w:rPr>
                <w:rFonts w:ascii="Calibri" w:hAnsi="Calibri" w:cs="Calibri"/>
                <w:sz w:val="20"/>
              </w:rPr>
            </w:pPr>
            <w:r w:rsidRPr="00A97450">
              <w:rPr>
                <w:rFonts w:ascii="Calibri" w:hAnsi="Calibri" w:cs="Calibri"/>
                <w:sz w:val="20"/>
              </w:rPr>
              <w:t>Ensemble organisé permettant d’accéder au référentiel comptable français et à sa documentation.</w:t>
            </w:r>
          </w:p>
        </w:tc>
      </w:tr>
      <w:tr w:rsidR="00A97450" w:rsidRPr="00A97450" w14:paraId="4CC7314D" w14:textId="77777777" w:rsidTr="00A97450">
        <w:tc>
          <w:tcPr>
            <w:tcW w:w="0" w:type="auto"/>
            <w:hideMark/>
          </w:tcPr>
          <w:p w14:paraId="0EAAFB6E" w14:textId="77777777" w:rsidR="00A97450" w:rsidRPr="00A97450" w:rsidRDefault="00A97450" w:rsidP="00A97450">
            <w:pPr>
              <w:jc w:val="left"/>
              <w:rPr>
                <w:rFonts w:ascii="Calibri" w:hAnsi="Calibri" w:cs="Calibri"/>
                <w:sz w:val="20"/>
              </w:rPr>
            </w:pPr>
            <w:r w:rsidRPr="00A97450">
              <w:rPr>
                <w:rFonts w:ascii="Calibri" w:hAnsi="Calibri" w:cs="Calibri"/>
                <w:b/>
                <w:bCs/>
                <w:sz w:val="20"/>
              </w:rPr>
              <w:t>Cadre conceptuel</w:t>
            </w:r>
          </w:p>
        </w:tc>
        <w:tc>
          <w:tcPr>
            <w:tcW w:w="0" w:type="auto"/>
            <w:hideMark/>
          </w:tcPr>
          <w:p w14:paraId="507C549F" w14:textId="77777777" w:rsidR="00A97450" w:rsidRPr="00A97450" w:rsidRDefault="00A97450" w:rsidP="00A97450">
            <w:pPr>
              <w:jc w:val="left"/>
              <w:rPr>
                <w:rFonts w:ascii="Calibri" w:hAnsi="Calibri" w:cs="Calibri"/>
                <w:sz w:val="20"/>
              </w:rPr>
            </w:pPr>
            <w:r w:rsidRPr="00A97450">
              <w:rPr>
                <w:rFonts w:ascii="Calibri" w:hAnsi="Calibri" w:cs="Calibri"/>
                <w:sz w:val="20"/>
              </w:rPr>
              <w:t>Ensemble de concepts servant de fondement à l’élaboration et à l’interprétation des normes.</w:t>
            </w:r>
          </w:p>
        </w:tc>
      </w:tr>
      <w:tr w:rsidR="00A97450" w:rsidRPr="00A97450" w14:paraId="018E42CD" w14:textId="77777777" w:rsidTr="00A97450">
        <w:tc>
          <w:tcPr>
            <w:tcW w:w="0" w:type="auto"/>
            <w:hideMark/>
          </w:tcPr>
          <w:p w14:paraId="10BB3323" w14:textId="77777777" w:rsidR="00A97450" w:rsidRPr="00A97450" w:rsidRDefault="00A97450" w:rsidP="00A97450">
            <w:pPr>
              <w:jc w:val="left"/>
              <w:rPr>
                <w:rFonts w:ascii="Calibri" w:hAnsi="Calibri" w:cs="Calibri"/>
                <w:sz w:val="20"/>
              </w:rPr>
            </w:pPr>
            <w:r w:rsidRPr="00A97450">
              <w:rPr>
                <w:rFonts w:ascii="Calibri" w:hAnsi="Calibri" w:cs="Calibri"/>
                <w:b/>
                <w:bCs/>
                <w:sz w:val="20"/>
              </w:rPr>
              <w:t>Image fidèle</w:t>
            </w:r>
          </w:p>
        </w:tc>
        <w:tc>
          <w:tcPr>
            <w:tcW w:w="0" w:type="auto"/>
            <w:hideMark/>
          </w:tcPr>
          <w:p w14:paraId="78A58939" w14:textId="77777777" w:rsidR="00A97450" w:rsidRPr="00A97450" w:rsidRDefault="00A97450" w:rsidP="00A97450">
            <w:pPr>
              <w:jc w:val="left"/>
              <w:rPr>
                <w:rFonts w:ascii="Calibri" w:hAnsi="Calibri" w:cs="Calibri"/>
                <w:sz w:val="20"/>
              </w:rPr>
            </w:pPr>
            <w:r w:rsidRPr="00A97450">
              <w:rPr>
                <w:rFonts w:ascii="Calibri" w:hAnsi="Calibri" w:cs="Calibri"/>
                <w:sz w:val="20"/>
              </w:rPr>
              <w:t>Finalité de représentation fidèle du patrimoine, de la situation financière et du résultat.</w:t>
            </w:r>
          </w:p>
        </w:tc>
      </w:tr>
      <w:tr w:rsidR="00A97450" w:rsidRPr="00A97450" w14:paraId="14430B22" w14:textId="77777777" w:rsidTr="00A97450">
        <w:tc>
          <w:tcPr>
            <w:tcW w:w="0" w:type="auto"/>
            <w:hideMark/>
          </w:tcPr>
          <w:p w14:paraId="49A565F3" w14:textId="77777777" w:rsidR="00A97450" w:rsidRPr="00A97450" w:rsidRDefault="00A97450" w:rsidP="00A97450">
            <w:pPr>
              <w:jc w:val="left"/>
              <w:rPr>
                <w:rFonts w:ascii="Calibri" w:hAnsi="Calibri" w:cs="Calibri"/>
                <w:sz w:val="20"/>
              </w:rPr>
            </w:pPr>
            <w:r w:rsidRPr="00A97450">
              <w:rPr>
                <w:rFonts w:ascii="Calibri" w:hAnsi="Calibri" w:cs="Calibri"/>
                <w:b/>
                <w:bCs/>
                <w:sz w:val="20"/>
              </w:rPr>
              <w:t>Régularité</w:t>
            </w:r>
          </w:p>
        </w:tc>
        <w:tc>
          <w:tcPr>
            <w:tcW w:w="0" w:type="auto"/>
            <w:hideMark/>
          </w:tcPr>
          <w:p w14:paraId="6944ECF3" w14:textId="77777777" w:rsidR="00A97450" w:rsidRPr="00A97450" w:rsidRDefault="00A97450" w:rsidP="00A97450">
            <w:pPr>
              <w:jc w:val="left"/>
              <w:rPr>
                <w:rFonts w:ascii="Calibri" w:hAnsi="Calibri" w:cs="Calibri"/>
                <w:sz w:val="20"/>
              </w:rPr>
            </w:pPr>
            <w:r w:rsidRPr="00A97450">
              <w:rPr>
                <w:rFonts w:ascii="Calibri" w:hAnsi="Calibri" w:cs="Calibri"/>
                <w:sz w:val="20"/>
              </w:rPr>
              <w:t>Respect des règles et procédures applicables.</w:t>
            </w:r>
          </w:p>
        </w:tc>
      </w:tr>
      <w:tr w:rsidR="00A97450" w:rsidRPr="00A97450" w14:paraId="791FB9FD" w14:textId="77777777" w:rsidTr="00A97450">
        <w:tc>
          <w:tcPr>
            <w:tcW w:w="0" w:type="auto"/>
            <w:hideMark/>
          </w:tcPr>
          <w:p w14:paraId="6B0EDD8F" w14:textId="77777777" w:rsidR="00A97450" w:rsidRPr="00A97450" w:rsidRDefault="00A97450" w:rsidP="00A97450">
            <w:pPr>
              <w:jc w:val="left"/>
              <w:rPr>
                <w:rFonts w:ascii="Calibri" w:hAnsi="Calibri" w:cs="Calibri"/>
                <w:sz w:val="20"/>
              </w:rPr>
            </w:pPr>
            <w:r w:rsidRPr="00A97450">
              <w:rPr>
                <w:rFonts w:ascii="Calibri" w:hAnsi="Calibri" w:cs="Calibri"/>
                <w:b/>
                <w:bCs/>
                <w:sz w:val="20"/>
              </w:rPr>
              <w:lastRenderedPageBreak/>
              <w:t>Sincérité</w:t>
            </w:r>
          </w:p>
        </w:tc>
        <w:tc>
          <w:tcPr>
            <w:tcW w:w="0" w:type="auto"/>
            <w:hideMark/>
          </w:tcPr>
          <w:p w14:paraId="3456985B" w14:textId="77777777" w:rsidR="00A97450" w:rsidRPr="00A97450" w:rsidRDefault="00A97450" w:rsidP="00A97450">
            <w:pPr>
              <w:jc w:val="left"/>
              <w:rPr>
                <w:rFonts w:ascii="Calibri" w:hAnsi="Calibri" w:cs="Calibri"/>
                <w:sz w:val="20"/>
              </w:rPr>
            </w:pPr>
            <w:r w:rsidRPr="00A97450">
              <w:rPr>
                <w:rFonts w:ascii="Calibri" w:hAnsi="Calibri" w:cs="Calibri"/>
                <w:sz w:val="20"/>
              </w:rPr>
              <w:t>Application loyale des règles compte tenu des informations disponibles.</w:t>
            </w:r>
          </w:p>
        </w:tc>
      </w:tr>
      <w:tr w:rsidR="00A97450" w:rsidRPr="00A97450" w14:paraId="3AFC819F" w14:textId="77777777" w:rsidTr="00A97450">
        <w:tc>
          <w:tcPr>
            <w:tcW w:w="0" w:type="auto"/>
            <w:hideMark/>
          </w:tcPr>
          <w:p w14:paraId="512F246F" w14:textId="77777777" w:rsidR="00A97450" w:rsidRPr="00A97450" w:rsidRDefault="00A97450" w:rsidP="00A97450">
            <w:pPr>
              <w:jc w:val="left"/>
              <w:rPr>
                <w:rFonts w:ascii="Calibri" w:hAnsi="Calibri" w:cs="Calibri"/>
                <w:sz w:val="20"/>
              </w:rPr>
            </w:pPr>
            <w:r w:rsidRPr="00A97450">
              <w:rPr>
                <w:rFonts w:ascii="Calibri" w:hAnsi="Calibri" w:cs="Calibri"/>
                <w:b/>
                <w:bCs/>
                <w:sz w:val="20"/>
              </w:rPr>
              <w:t>Comparabilité</w:t>
            </w:r>
          </w:p>
        </w:tc>
        <w:tc>
          <w:tcPr>
            <w:tcW w:w="0" w:type="auto"/>
            <w:hideMark/>
          </w:tcPr>
          <w:p w14:paraId="1895842D" w14:textId="77777777" w:rsidR="00A97450" w:rsidRPr="00A97450" w:rsidRDefault="00A97450" w:rsidP="00A97450">
            <w:pPr>
              <w:jc w:val="left"/>
              <w:rPr>
                <w:rFonts w:ascii="Calibri" w:hAnsi="Calibri" w:cs="Calibri"/>
                <w:sz w:val="20"/>
              </w:rPr>
            </w:pPr>
            <w:r w:rsidRPr="00A97450">
              <w:rPr>
                <w:rFonts w:ascii="Calibri" w:hAnsi="Calibri" w:cs="Calibri"/>
                <w:sz w:val="20"/>
              </w:rPr>
              <w:t>Possibilité de comparer utilement l’information comptable.</w:t>
            </w:r>
          </w:p>
        </w:tc>
      </w:tr>
      <w:tr w:rsidR="00A97450" w:rsidRPr="00A97450" w14:paraId="45294BF3" w14:textId="77777777" w:rsidTr="00A97450">
        <w:tc>
          <w:tcPr>
            <w:tcW w:w="0" w:type="auto"/>
            <w:hideMark/>
          </w:tcPr>
          <w:p w14:paraId="04059159" w14:textId="77777777" w:rsidR="00A97450" w:rsidRPr="00A97450" w:rsidRDefault="00A97450" w:rsidP="00A97450">
            <w:pPr>
              <w:jc w:val="left"/>
              <w:rPr>
                <w:rFonts w:ascii="Calibri" w:hAnsi="Calibri" w:cs="Calibri"/>
                <w:sz w:val="20"/>
              </w:rPr>
            </w:pPr>
            <w:r w:rsidRPr="00A97450">
              <w:rPr>
                <w:rFonts w:ascii="Calibri" w:hAnsi="Calibri" w:cs="Calibri"/>
                <w:b/>
                <w:bCs/>
                <w:sz w:val="20"/>
              </w:rPr>
              <w:t>Continuité d’activité</w:t>
            </w:r>
          </w:p>
        </w:tc>
        <w:tc>
          <w:tcPr>
            <w:tcW w:w="0" w:type="auto"/>
            <w:hideMark/>
          </w:tcPr>
          <w:p w14:paraId="64A5BBFA" w14:textId="77777777" w:rsidR="00A97450" w:rsidRPr="00A97450" w:rsidRDefault="00A97450" w:rsidP="00A97450">
            <w:pPr>
              <w:jc w:val="left"/>
              <w:rPr>
                <w:rFonts w:ascii="Calibri" w:hAnsi="Calibri" w:cs="Calibri"/>
                <w:sz w:val="20"/>
              </w:rPr>
            </w:pPr>
            <w:r w:rsidRPr="00A97450">
              <w:rPr>
                <w:rFonts w:ascii="Calibri" w:hAnsi="Calibri" w:cs="Calibri"/>
                <w:sz w:val="20"/>
              </w:rPr>
              <w:t>Hypothèse normale de poursuite de l’activité.</w:t>
            </w:r>
          </w:p>
        </w:tc>
      </w:tr>
      <w:tr w:rsidR="00A97450" w:rsidRPr="00A97450" w14:paraId="6AE5E327" w14:textId="77777777" w:rsidTr="00A97450">
        <w:tc>
          <w:tcPr>
            <w:tcW w:w="0" w:type="auto"/>
            <w:hideMark/>
          </w:tcPr>
          <w:p w14:paraId="5C5372DB" w14:textId="77777777" w:rsidR="00A97450" w:rsidRPr="00A97450" w:rsidRDefault="00A97450" w:rsidP="00A97450">
            <w:pPr>
              <w:jc w:val="left"/>
              <w:rPr>
                <w:rFonts w:ascii="Calibri" w:hAnsi="Calibri" w:cs="Calibri"/>
                <w:sz w:val="20"/>
              </w:rPr>
            </w:pPr>
            <w:r w:rsidRPr="00A97450">
              <w:rPr>
                <w:rFonts w:ascii="Calibri" w:hAnsi="Calibri" w:cs="Calibri"/>
                <w:b/>
                <w:bCs/>
                <w:sz w:val="20"/>
              </w:rPr>
              <w:t>Prudence</w:t>
            </w:r>
          </w:p>
        </w:tc>
        <w:tc>
          <w:tcPr>
            <w:tcW w:w="0" w:type="auto"/>
            <w:hideMark/>
          </w:tcPr>
          <w:p w14:paraId="086A23A3" w14:textId="77777777" w:rsidR="00A97450" w:rsidRPr="00A97450" w:rsidRDefault="00A97450" w:rsidP="00A97450">
            <w:pPr>
              <w:jc w:val="left"/>
              <w:rPr>
                <w:rFonts w:ascii="Calibri" w:hAnsi="Calibri" w:cs="Calibri"/>
                <w:sz w:val="20"/>
              </w:rPr>
            </w:pPr>
            <w:r w:rsidRPr="00A97450">
              <w:rPr>
                <w:rFonts w:ascii="Calibri" w:hAnsi="Calibri" w:cs="Calibri"/>
                <w:sz w:val="20"/>
              </w:rPr>
              <w:t>Prise en compte appropriée des incertitudes susceptibles de grever patrimoine et résultat.</w:t>
            </w:r>
          </w:p>
        </w:tc>
      </w:tr>
      <w:tr w:rsidR="00A97450" w:rsidRPr="00A97450" w14:paraId="08AE88F4" w14:textId="77777777" w:rsidTr="00A97450">
        <w:tc>
          <w:tcPr>
            <w:tcW w:w="0" w:type="auto"/>
            <w:hideMark/>
          </w:tcPr>
          <w:p w14:paraId="10483F30" w14:textId="77777777" w:rsidR="00A97450" w:rsidRPr="00A97450" w:rsidRDefault="00A97450" w:rsidP="00A97450">
            <w:pPr>
              <w:jc w:val="left"/>
              <w:rPr>
                <w:rFonts w:ascii="Calibri" w:hAnsi="Calibri" w:cs="Calibri"/>
                <w:sz w:val="20"/>
              </w:rPr>
            </w:pPr>
            <w:r w:rsidRPr="00A97450">
              <w:rPr>
                <w:rFonts w:ascii="Calibri" w:hAnsi="Calibri" w:cs="Calibri"/>
                <w:b/>
                <w:bCs/>
                <w:sz w:val="20"/>
              </w:rPr>
              <w:t>Permanence des méthodes</w:t>
            </w:r>
          </w:p>
        </w:tc>
        <w:tc>
          <w:tcPr>
            <w:tcW w:w="0" w:type="auto"/>
            <w:hideMark/>
          </w:tcPr>
          <w:p w14:paraId="3EACDD31" w14:textId="77777777" w:rsidR="00A97450" w:rsidRPr="00A97450" w:rsidRDefault="00A97450" w:rsidP="00A97450">
            <w:pPr>
              <w:jc w:val="left"/>
              <w:rPr>
                <w:rFonts w:ascii="Calibri" w:hAnsi="Calibri" w:cs="Calibri"/>
                <w:sz w:val="20"/>
              </w:rPr>
            </w:pPr>
            <w:r w:rsidRPr="00A97450">
              <w:rPr>
                <w:rFonts w:ascii="Calibri" w:hAnsi="Calibri" w:cs="Calibri"/>
                <w:sz w:val="20"/>
              </w:rPr>
              <w:t>Application cohérente des mêmes méthodes dans le temps.</w:t>
            </w:r>
          </w:p>
        </w:tc>
      </w:tr>
      <w:tr w:rsidR="00A97450" w:rsidRPr="00A97450" w14:paraId="0C819789" w14:textId="77777777" w:rsidTr="00A97450">
        <w:tc>
          <w:tcPr>
            <w:tcW w:w="0" w:type="auto"/>
            <w:hideMark/>
          </w:tcPr>
          <w:p w14:paraId="2AC8BE8D" w14:textId="77777777" w:rsidR="00A97450" w:rsidRPr="00A97450" w:rsidRDefault="00A97450" w:rsidP="00A97450">
            <w:pPr>
              <w:jc w:val="left"/>
              <w:rPr>
                <w:rFonts w:ascii="Calibri" w:hAnsi="Calibri" w:cs="Calibri"/>
                <w:sz w:val="20"/>
              </w:rPr>
            </w:pPr>
            <w:r w:rsidRPr="00A97450">
              <w:rPr>
                <w:rFonts w:ascii="Calibri" w:hAnsi="Calibri" w:cs="Calibri"/>
                <w:b/>
                <w:bCs/>
                <w:sz w:val="20"/>
              </w:rPr>
              <w:t>Indépendance des exercices</w:t>
            </w:r>
          </w:p>
        </w:tc>
        <w:tc>
          <w:tcPr>
            <w:tcW w:w="0" w:type="auto"/>
            <w:hideMark/>
          </w:tcPr>
          <w:p w14:paraId="7242ECC1" w14:textId="77777777" w:rsidR="00A97450" w:rsidRPr="00A97450" w:rsidRDefault="00A97450" w:rsidP="00A97450">
            <w:pPr>
              <w:jc w:val="left"/>
              <w:rPr>
                <w:rFonts w:ascii="Calibri" w:hAnsi="Calibri" w:cs="Calibri"/>
                <w:sz w:val="20"/>
              </w:rPr>
            </w:pPr>
            <w:r w:rsidRPr="00A97450">
              <w:rPr>
                <w:rFonts w:ascii="Calibri" w:hAnsi="Calibri" w:cs="Calibri"/>
                <w:sz w:val="20"/>
              </w:rPr>
              <w:t>Rattachement des charges et produits à l’exercice concerné.</w:t>
            </w:r>
          </w:p>
        </w:tc>
      </w:tr>
      <w:tr w:rsidR="00A97450" w:rsidRPr="00A97450" w14:paraId="727809A7" w14:textId="77777777" w:rsidTr="00A97450">
        <w:tc>
          <w:tcPr>
            <w:tcW w:w="0" w:type="auto"/>
            <w:hideMark/>
          </w:tcPr>
          <w:p w14:paraId="629F1A24" w14:textId="77777777" w:rsidR="00A97450" w:rsidRPr="00A97450" w:rsidRDefault="00A97450" w:rsidP="00A97450">
            <w:pPr>
              <w:jc w:val="left"/>
              <w:rPr>
                <w:rFonts w:ascii="Calibri" w:hAnsi="Calibri" w:cs="Calibri"/>
                <w:sz w:val="20"/>
              </w:rPr>
            </w:pPr>
            <w:r w:rsidRPr="00A97450">
              <w:rPr>
                <w:rFonts w:ascii="Calibri" w:hAnsi="Calibri" w:cs="Calibri"/>
                <w:b/>
                <w:bCs/>
                <w:sz w:val="20"/>
              </w:rPr>
              <w:t>Coût historique</w:t>
            </w:r>
          </w:p>
        </w:tc>
        <w:tc>
          <w:tcPr>
            <w:tcW w:w="0" w:type="auto"/>
            <w:hideMark/>
          </w:tcPr>
          <w:p w14:paraId="0CBAB9D6" w14:textId="77777777" w:rsidR="00A97450" w:rsidRPr="00A97450" w:rsidRDefault="00A97450" w:rsidP="00A97450">
            <w:pPr>
              <w:jc w:val="left"/>
              <w:rPr>
                <w:rFonts w:ascii="Calibri" w:hAnsi="Calibri" w:cs="Calibri"/>
                <w:sz w:val="20"/>
              </w:rPr>
            </w:pPr>
            <w:r w:rsidRPr="00A97450">
              <w:rPr>
                <w:rFonts w:ascii="Calibri" w:hAnsi="Calibri" w:cs="Calibri"/>
                <w:sz w:val="20"/>
              </w:rPr>
              <w:t>Comptabilisation initiale fondée sur le coût d’entrée.</w:t>
            </w:r>
          </w:p>
        </w:tc>
      </w:tr>
      <w:tr w:rsidR="00A97450" w:rsidRPr="00A97450" w14:paraId="51916877" w14:textId="77777777" w:rsidTr="00A97450">
        <w:tc>
          <w:tcPr>
            <w:tcW w:w="0" w:type="auto"/>
            <w:hideMark/>
          </w:tcPr>
          <w:p w14:paraId="02172D61" w14:textId="77777777" w:rsidR="00A97450" w:rsidRPr="00A97450" w:rsidRDefault="00A97450" w:rsidP="00A97450">
            <w:pPr>
              <w:jc w:val="left"/>
              <w:rPr>
                <w:rFonts w:ascii="Calibri" w:hAnsi="Calibri" w:cs="Calibri"/>
                <w:sz w:val="20"/>
              </w:rPr>
            </w:pPr>
            <w:r w:rsidRPr="00A97450">
              <w:rPr>
                <w:rFonts w:ascii="Calibri" w:hAnsi="Calibri" w:cs="Calibri"/>
                <w:b/>
                <w:bCs/>
                <w:sz w:val="20"/>
              </w:rPr>
              <w:t>Intangibilité du bilan d’ouverture</w:t>
            </w:r>
          </w:p>
        </w:tc>
        <w:tc>
          <w:tcPr>
            <w:tcW w:w="0" w:type="auto"/>
            <w:hideMark/>
          </w:tcPr>
          <w:p w14:paraId="4E349052" w14:textId="77777777" w:rsidR="00A97450" w:rsidRPr="00A97450" w:rsidRDefault="00A97450" w:rsidP="00A97450">
            <w:pPr>
              <w:jc w:val="left"/>
              <w:rPr>
                <w:rFonts w:ascii="Calibri" w:hAnsi="Calibri" w:cs="Calibri"/>
                <w:sz w:val="20"/>
              </w:rPr>
            </w:pPr>
            <w:r w:rsidRPr="00A97450">
              <w:rPr>
                <w:rFonts w:ascii="Calibri" w:hAnsi="Calibri" w:cs="Calibri"/>
                <w:sz w:val="20"/>
              </w:rPr>
              <w:t>Correspondance entre bilan d’ouverture et bilan de clôture précédent.</w:t>
            </w:r>
          </w:p>
        </w:tc>
      </w:tr>
      <w:tr w:rsidR="00A97450" w:rsidRPr="00A97450" w14:paraId="3D1393F7" w14:textId="77777777" w:rsidTr="00A97450">
        <w:tc>
          <w:tcPr>
            <w:tcW w:w="0" w:type="auto"/>
            <w:hideMark/>
          </w:tcPr>
          <w:p w14:paraId="5261836F" w14:textId="77777777" w:rsidR="00A97450" w:rsidRPr="00A97450" w:rsidRDefault="00A97450" w:rsidP="00A97450">
            <w:pPr>
              <w:jc w:val="left"/>
              <w:rPr>
                <w:rFonts w:ascii="Calibri" w:hAnsi="Calibri" w:cs="Calibri"/>
                <w:sz w:val="20"/>
              </w:rPr>
            </w:pPr>
            <w:r w:rsidRPr="00A97450">
              <w:rPr>
                <w:rFonts w:ascii="Calibri" w:hAnsi="Calibri" w:cs="Calibri"/>
                <w:b/>
                <w:bCs/>
                <w:sz w:val="20"/>
              </w:rPr>
              <w:t>Non-compensation</w:t>
            </w:r>
          </w:p>
        </w:tc>
        <w:tc>
          <w:tcPr>
            <w:tcW w:w="0" w:type="auto"/>
            <w:hideMark/>
          </w:tcPr>
          <w:p w14:paraId="01FC09E0" w14:textId="77777777" w:rsidR="00A97450" w:rsidRPr="00A97450" w:rsidRDefault="00A97450" w:rsidP="00A97450">
            <w:pPr>
              <w:jc w:val="left"/>
              <w:rPr>
                <w:rFonts w:ascii="Calibri" w:hAnsi="Calibri" w:cs="Calibri"/>
                <w:sz w:val="20"/>
              </w:rPr>
            </w:pPr>
            <w:r w:rsidRPr="00A97450">
              <w:rPr>
                <w:rFonts w:ascii="Calibri" w:hAnsi="Calibri" w:cs="Calibri"/>
                <w:sz w:val="20"/>
              </w:rPr>
              <w:t>Présentation distincte des actifs/passifs et charges/produits.</w:t>
            </w:r>
          </w:p>
        </w:tc>
      </w:tr>
      <w:tr w:rsidR="00A97450" w:rsidRPr="00A97450" w14:paraId="62A00087" w14:textId="77777777" w:rsidTr="00A97450">
        <w:tc>
          <w:tcPr>
            <w:tcW w:w="0" w:type="auto"/>
            <w:hideMark/>
          </w:tcPr>
          <w:p w14:paraId="33205069" w14:textId="77777777" w:rsidR="00A97450" w:rsidRPr="00A97450" w:rsidRDefault="00A97450" w:rsidP="00A97450">
            <w:pPr>
              <w:jc w:val="left"/>
              <w:rPr>
                <w:rFonts w:ascii="Calibri" w:hAnsi="Calibri" w:cs="Calibri"/>
                <w:sz w:val="20"/>
              </w:rPr>
            </w:pPr>
            <w:r w:rsidRPr="00A97450">
              <w:rPr>
                <w:rFonts w:ascii="Calibri" w:hAnsi="Calibri" w:cs="Calibri"/>
                <w:b/>
                <w:bCs/>
                <w:sz w:val="20"/>
              </w:rPr>
              <w:t>Importance relative</w:t>
            </w:r>
          </w:p>
        </w:tc>
        <w:tc>
          <w:tcPr>
            <w:tcW w:w="0" w:type="auto"/>
            <w:hideMark/>
          </w:tcPr>
          <w:p w14:paraId="79B9A947" w14:textId="77777777" w:rsidR="00A97450" w:rsidRPr="00A97450" w:rsidRDefault="00A97450" w:rsidP="00A97450">
            <w:pPr>
              <w:jc w:val="left"/>
              <w:rPr>
                <w:rFonts w:ascii="Calibri" w:hAnsi="Calibri" w:cs="Calibri"/>
                <w:sz w:val="20"/>
              </w:rPr>
            </w:pPr>
            <w:r w:rsidRPr="00A97450">
              <w:rPr>
                <w:rFonts w:ascii="Calibri" w:hAnsi="Calibri" w:cs="Calibri"/>
                <w:sz w:val="20"/>
              </w:rPr>
              <w:t>Prise en compte de la significativité de l’information.</w:t>
            </w:r>
          </w:p>
        </w:tc>
      </w:tr>
      <w:tr w:rsidR="00A97450" w:rsidRPr="00A97450" w14:paraId="105F0D74" w14:textId="77777777" w:rsidTr="00A97450">
        <w:tc>
          <w:tcPr>
            <w:tcW w:w="0" w:type="auto"/>
            <w:hideMark/>
          </w:tcPr>
          <w:p w14:paraId="2F411F13" w14:textId="77777777" w:rsidR="00A97450" w:rsidRPr="00A97450" w:rsidRDefault="00A97450" w:rsidP="00A97450">
            <w:pPr>
              <w:jc w:val="left"/>
              <w:rPr>
                <w:rFonts w:ascii="Calibri" w:hAnsi="Calibri" w:cs="Calibri"/>
                <w:sz w:val="20"/>
              </w:rPr>
            </w:pPr>
            <w:r w:rsidRPr="00A97450">
              <w:rPr>
                <w:rFonts w:ascii="Calibri" w:hAnsi="Calibri" w:cs="Calibri"/>
                <w:b/>
                <w:bCs/>
                <w:sz w:val="20"/>
              </w:rPr>
              <w:t>IFRS Foundation</w:t>
            </w:r>
          </w:p>
        </w:tc>
        <w:tc>
          <w:tcPr>
            <w:tcW w:w="0" w:type="auto"/>
            <w:hideMark/>
          </w:tcPr>
          <w:p w14:paraId="7051E22F" w14:textId="77777777" w:rsidR="00A97450" w:rsidRPr="00A97450" w:rsidRDefault="00A97450" w:rsidP="00A97450">
            <w:pPr>
              <w:jc w:val="left"/>
              <w:rPr>
                <w:rFonts w:ascii="Calibri" w:hAnsi="Calibri" w:cs="Calibri"/>
                <w:sz w:val="20"/>
              </w:rPr>
            </w:pPr>
            <w:r w:rsidRPr="00A97450">
              <w:rPr>
                <w:rFonts w:ascii="Calibri" w:hAnsi="Calibri" w:cs="Calibri"/>
                <w:sz w:val="20"/>
              </w:rPr>
              <w:t>Organisation internationale regroupant notamment l’IASB et l’ISSB.</w:t>
            </w:r>
          </w:p>
        </w:tc>
      </w:tr>
      <w:tr w:rsidR="00A97450" w:rsidRPr="00A97450" w14:paraId="60283765" w14:textId="77777777" w:rsidTr="00A97450">
        <w:tc>
          <w:tcPr>
            <w:tcW w:w="0" w:type="auto"/>
            <w:hideMark/>
          </w:tcPr>
          <w:p w14:paraId="2993CFAB" w14:textId="77777777" w:rsidR="00A97450" w:rsidRPr="00A97450" w:rsidRDefault="00A97450" w:rsidP="00A97450">
            <w:pPr>
              <w:jc w:val="left"/>
              <w:rPr>
                <w:rFonts w:ascii="Calibri" w:hAnsi="Calibri" w:cs="Calibri"/>
                <w:sz w:val="20"/>
              </w:rPr>
            </w:pPr>
            <w:r w:rsidRPr="00A97450">
              <w:rPr>
                <w:rFonts w:ascii="Calibri" w:hAnsi="Calibri" w:cs="Calibri"/>
                <w:b/>
                <w:bCs/>
                <w:sz w:val="20"/>
              </w:rPr>
              <w:t>IASB</w:t>
            </w:r>
          </w:p>
        </w:tc>
        <w:tc>
          <w:tcPr>
            <w:tcW w:w="0" w:type="auto"/>
            <w:hideMark/>
          </w:tcPr>
          <w:p w14:paraId="26929343" w14:textId="77777777" w:rsidR="00A97450" w:rsidRPr="00A97450" w:rsidRDefault="00A97450" w:rsidP="00A97450">
            <w:pPr>
              <w:jc w:val="left"/>
              <w:rPr>
                <w:rFonts w:ascii="Calibri" w:hAnsi="Calibri" w:cs="Calibri"/>
                <w:sz w:val="20"/>
                <w:lang w:val="en-GB"/>
              </w:rPr>
            </w:pPr>
            <w:r w:rsidRPr="00A97450">
              <w:rPr>
                <w:rFonts w:ascii="Calibri" w:hAnsi="Calibri" w:cs="Calibri"/>
                <w:sz w:val="20"/>
                <w:lang w:val="en-GB"/>
              </w:rPr>
              <w:t>International Accounting Standards Board, normalisateur des IFRS Accounting Standards.</w:t>
            </w:r>
          </w:p>
        </w:tc>
      </w:tr>
      <w:tr w:rsidR="00A97450" w:rsidRPr="00A97450" w14:paraId="69E9EDF8" w14:textId="77777777" w:rsidTr="00A97450">
        <w:tc>
          <w:tcPr>
            <w:tcW w:w="0" w:type="auto"/>
            <w:hideMark/>
          </w:tcPr>
          <w:p w14:paraId="01E21787" w14:textId="77777777" w:rsidR="00A97450" w:rsidRPr="00A97450" w:rsidRDefault="00A97450" w:rsidP="00A97450">
            <w:pPr>
              <w:jc w:val="left"/>
              <w:rPr>
                <w:rFonts w:ascii="Calibri" w:hAnsi="Calibri" w:cs="Calibri"/>
                <w:sz w:val="20"/>
              </w:rPr>
            </w:pPr>
            <w:r w:rsidRPr="00A97450">
              <w:rPr>
                <w:rFonts w:ascii="Calibri" w:hAnsi="Calibri" w:cs="Calibri"/>
                <w:b/>
                <w:bCs/>
                <w:sz w:val="20"/>
              </w:rPr>
              <w:t>IAS</w:t>
            </w:r>
          </w:p>
        </w:tc>
        <w:tc>
          <w:tcPr>
            <w:tcW w:w="0" w:type="auto"/>
            <w:hideMark/>
          </w:tcPr>
          <w:p w14:paraId="59AD56DB" w14:textId="77777777" w:rsidR="00A97450" w:rsidRPr="00A97450" w:rsidRDefault="00A97450" w:rsidP="00A97450">
            <w:pPr>
              <w:jc w:val="left"/>
              <w:rPr>
                <w:rFonts w:ascii="Calibri" w:hAnsi="Calibri" w:cs="Calibri"/>
                <w:sz w:val="20"/>
              </w:rPr>
            </w:pPr>
            <w:r w:rsidRPr="00A97450">
              <w:rPr>
                <w:rFonts w:ascii="Calibri" w:hAnsi="Calibri" w:cs="Calibri"/>
                <w:sz w:val="20"/>
              </w:rPr>
              <w:t>International Accounting Standards, normes internationales historiques encore applicables lorsqu’elles n’ont pas été remplacées.</w:t>
            </w:r>
          </w:p>
        </w:tc>
      </w:tr>
      <w:tr w:rsidR="00A97450" w:rsidRPr="00A97450" w14:paraId="54C89365" w14:textId="77777777" w:rsidTr="00A97450">
        <w:tc>
          <w:tcPr>
            <w:tcW w:w="0" w:type="auto"/>
            <w:hideMark/>
          </w:tcPr>
          <w:p w14:paraId="4E5B2ED7" w14:textId="77777777" w:rsidR="00A97450" w:rsidRPr="00A97450" w:rsidRDefault="00A97450" w:rsidP="00A97450">
            <w:pPr>
              <w:jc w:val="left"/>
              <w:rPr>
                <w:rFonts w:ascii="Calibri" w:hAnsi="Calibri" w:cs="Calibri"/>
                <w:sz w:val="20"/>
              </w:rPr>
            </w:pPr>
            <w:r w:rsidRPr="00A97450">
              <w:rPr>
                <w:rFonts w:ascii="Calibri" w:hAnsi="Calibri" w:cs="Calibri"/>
                <w:b/>
                <w:bCs/>
                <w:sz w:val="20"/>
              </w:rPr>
              <w:t>IFRS</w:t>
            </w:r>
          </w:p>
        </w:tc>
        <w:tc>
          <w:tcPr>
            <w:tcW w:w="0" w:type="auto"/>
            <w:hideMark/>
          </w:tcPr>
          <w:p w14:paraId="1B20CF97" w14:textId="77777777" w:rsidR="00A97450" w:rsidRPr="00A97450" w:rsidRDefault="00A97450" w:rsidP="00A97450">
            <w:pPr>
              <w:jc w:val="left"/>
              <w:rPr>
                <w:rFonts w:ascii="Calibri" w:hAnsi="Calibri" w:cs="Calibri"/>
                <w:sz w:val="20"/>
              </w:rPr>
            </w:pPr>
            <w:r w:rsidRPr="00A97450">
              <w:rPr>
                <w:rFonts w:ascii="Calibri" w:hAnsi="Calibri" w:cs="Calibri"/>
                <w:sz w:val="20"/>
              </w:rPr>
              <w:t>International Financial Reporting Standards.</w:t>
            </w:r>
          </w:p>
        </w:tc>
      </w:tr>
      <w:tr w:rsidR="00A97450" w:rsidRPr="00A97450" w14:paraId="41DFB8E8" w14:textId="77777777" w:rsidTr="00A97450">
        <w:tc>
          <w:tcPr>
            <w:tcW w:w="0" w:type="auto"/>
            <w:hideMark/>
          </w:tcPr>
          <w:p w14:paraId="2DCB64BB" w14:textId="77777777" w:rsidR="00A97450" w:rsidRPr="00A97450" w:rsidRDefault="00A97450" w:rsidP="00A97450">
            <w:pPr>
              <w:jc w:val="left"/>
              <w:rPr>
                <w:rFonts w:ascii="Calibri" w:hAnsi="Calibri" w:cs="Calibri"/>
                <w:sz w:val="20"/>
              </w:rPr>
            </w:pPr>
            <w:r w:rsidRPr="00A97450">
              <w:rPr>
                <w:rFonts w:ascii="Calibri" w:hAnsi="Calibri" w:cs="Calibri"/>
                <w:b/>
                <w:bCs/>
                <w:sz w:val="20"/>
              </w:rPr>
              <w:t>IFRS Interpretations Committee</w:t>
            </w:r>
          </w:p>
        </w:tc>
        <w:tc>
          <w:tcPr>
            <w:tcW w:w="0" w:type="auto"/>
            <w:hideMark/>
          </w:tcPr>
          <w:p w14:paraId="6EE42802" w14:textId="77777777" w:rsidR="00A97450" w:rsidRPr="00A97450" w:rsidRDefault="00A97450" w:rsidP="00A97450">
            <w:pPr>
              <w:jc w:val="left"/>
              <w:rPr>
                <w:rFonts w:ascii="Calibri" w:hAnsi="Calibri" w:cs="Calibri"/>
                <w:sz w:val="20"/>
              </w:rPr>
            </w:pPr>
            <w:r w:rsidRPr="00A97450">
              <w:rPr>
                <w:rFonts w:ascii="Calibri" w:hAnsi="Calibri" w:cs="Calibri"/>
                <w:sz w:val="20"/>
              </w:rPr>
              <w:t>Organisme chargé de traiter certaines questions d’interprétation des IFRS.</w:t>
            </w:r>
          </w:p>
        </w:tc>
      </w:tr>
      <w:tr w:rsidR="00A97450" w:rsidRPr="00A97450" w14:paraId="42D9924E" w14:textId="77777777" w:rsidTr="00A97450">
        <w:tc>
          <w:tcPr>
            <w:tcW w:w="0" w:type="auto"/>
            <w:hideMark/>
          </w:tcPr>
          <w:p w14:paraId="3EC57093" w14:textId="77777777" w:rsidR="00A97450" w:rsidRPr="00A97450" w:rsidRDefault="00A97450" w:rsidP="00A97450">
            <w:pPr>
              <w:jc w:val="left"/>
              <w:rPr>
                <w:rFonts w:ascii="Calibri" w:hAnsi="Calibri" w:cs="Calibri"/>
                <w:sz w:val="20"/>
              </w:rPr>
            </w:pPr>
            <w:r w:rsidRPr="00A97450">
              <w:rPr>
                <w:rFonts w:ascii="Calibri" w:hAnsi="Calibri" w:cs="Calibri"/>
                <w:b/>
                <w:bCs/>
                <w:sz w:val="20"/>
              </w:rPr>
              <w:t>SIC</w:t>
            </w:r>
          </w:p>
        </w:tc>
        <w:tc>
          <w:tcPr>
            <w:tcW w:w="0" w:type="auto"/>
            <w:hideMark/>
          </w:tcPr>
          <w:p w14:paraId="377C9E81" w14:textId="77777777" w:rsidR="00A97450" w:rsidRPr="00A97450" w:rsidRDefault="00A97450" w:rsidP="00A97450">
            <w:pPr>
              <w:jc w:val="left"/>
              <w:rPr>
                <w:rFonts w:ascii="Calibri" w:hAnsi="Calibri" w:cs="Calibri"/>
                <w:sz w:val="20"/>
              </w:rPr>
            </w:pPr>
            <w:r w:rsidRPr="00A97450">
              <w:rPr>
                <w:rFonts w:ascii="Calibri" w:hAnsi="Calibri" w:cs="Calibri"/>
                <w:sz w:val="20"/>
              </w:rPr>
              <w:t>Anciennes interprétations du Standing Interpretations Committee.</w:t>
            </w:r>
          </w:p>
        </w:tc>
      </w:tr>
      <w:tr w:rsidR="00A97450" w:rsidRPr="00A97450" w14:paraId="376BBCA1" w14:textId="77777777" w:rsidTr="00A97450">
        <w:tc>
          <w:tcPr>
            <w:tcW w:w="0" w:type="auto"/>
            <w:hideMark/>
          </w:tcPr>
          <w:p w14:paraId="2FCE9334" w14:textId="77777777" w:rsidR="00A97450" w:rsidRPr="00A97450" w:rsidRDefault="00A97450" w:rsidP="00A97450">
            <w:pPr>
              <w:jc w:val="left"/>
              <w:rPr>
                <w:rFonts w:ascii="Calibri" w:hAnsi="Calibri" w:cs="Calibri"/>
                <w:sz w:val="20"/>
              </w:rPr>
            </w:pPr>
            <w:r w:rsidRPr="00A97450">
              <w:rPr>
                <w:rFonts w:ascii="Calibri" w:hAnsi="Calibri" w:cs="Calibri"/>
                <w:b/>
                <w:bCs/>
                <w:sz w:val="20"/>
              </w:rPr>
              <w:t>EFRAG</w:t>
            </w:r>
          </w:p>
        </w:tc>
        <w:tc>
          <w:tcPr>
            <w:tcW w:w="0" w:type="auto"/>
            <w:hideMark/>
          </w:tcPr>
          <w:p w14:paraId="22F1F5B4" w14:textId="77777777" w:rsidR="00A97450" w:rsidRPr="00A97450" w:rsidRDefault="00A97450" w:rsidP="00A97450">
            <w:pPr>
              <w:jc w:val="left"/>
              <w:rPr>
                <w:rFonts w:ascii="Calibri" w:hAnsi="Calibri" w:cs="Calibri"/>
                <w:sz w:val="20"/>
              </w:rPr>
            </w:pPr>
            <w:r w:rsidRPr="00A97450">
              <w:rPr>
                <w:rFonts w:ascii="Calibri" w:hAnsi="Calibri" w:cs="Calibri"/>
                <w:sz w:val="20"/>
              </w:rPr>
              <w:t>Organisme européen apportant notamment une expertise technique dans le processus européen d’adoption des IFRS.</w:t>
            </w:r>
          </w:p>
        </w:tc>
      </w:tr>
      <w:tr w:rsidR="00A97450" w:rsidRPr="00A97450" w14:paraId="4AD0C8E1" w14:textId="77777777" w:rsidTr="00A97450">
        <w:tc>
          <w:tcPr>
            <w:tcW w:w="0" w:type="auto"/>
            <w:hideMark/>
          </w:tcPr>
          <w:p w14:paraId="3B3035D8" w14:textId="77777777" w:rsidR="00A97450" w:rsidRPr="00A97450" w:rsidRDefault="00A97450" w:rsidP="00A97450">
            <w:pPr>
              <w:jc w:val="left"/>
              <w:rPr>
                <w:rFonts w:ascii="Calibri" w:hAnsi="Calibri" w:cs="Calibri"/>
                <w:sz w:val="20"/>
              </w:rPr>
            </w:pPr>
            <w:r w:rsidRPr="00A97450">
              <w:rPr>
                <w:rFonts w:ascii="Calibri" w:hAnsi="Calibri" w:cs="Calibri"/>
                <w:b/>
                <w:bCs/>
                <w:sz w:val="20"/>
              </w:rPr>
              <w:t>FASB</w:t>
            </w:r>
          </w:p>
        </w:tc>
        <w:tc>
          <w:tcPr>
            <w:tcW w:w="0" w:type="auto"/>
            <w:hideMark/>
          </w:tcPr>
          <w:p w14:paraId="438E72A4" w14:textId="77777777" w:rsidR="00A97450" w:rsidRPr="00A97450" w:rsidRDefault="00A97450" w:rsidP="00A97450">
            <w:pPr>
              <w:jc w:val="left"/>
              <w:rPr>
                <w:rFonts w:ascii="Calibri" w:hAnsi="Calibri" w:cs="Calibri"/>
                <w:sz w:val="20"/>
              </w:rPr>
            </w:pPr>
            <w:r w:rsidRPr="00A97450">
              <w:rPr>
                <w:rFonts w:ascii="Calibri" w:hAnsi="Calibri" w:cs="Calibri"/>
                <w:sz w:val="20"/>
              </w:rPr>
              <w:t>Financial Accounting Standards Board, normalisateur comptable américain.</w:t>
            </w:r>
          </w:p>
        </w:tc>
      </w:tr>
      <w:tr w:rsidR="00A97450" w:rsidRPr="00A97450" w14:paraId="05E9415B" w14:textId="77777777" w:rsidTr="00A97450">
        <w:tc>
          <w:tcPr>
            <w:tcW w:w="0" w:type="auto"/>
            <w:hideMark/>
          </w:tcPr>
          <w:p w14:paraId="46B74EA2" w14:textId="77777777" w:rsidR="00A97450" w:rsidRPr="00A97450" w:rsidRDefault="00A97450" w:rsidP="00A97450">
            <w:pPr>
              <w:jc w:val="left"/>
              <w:rPr>
                <w:rFonts w:ascii="Calibri" w:hAnsi="Calibri" w:cs="Calibri"/>
                <w:sz w:val="20"/>
              </w:rPr>
            </w:pPr>
            <w:r w:rsidRPr="00A97450">
              <w:rPr>
                <w:rFonts w:ascii="Calibri" w:hAnsi="Calibri" w:cs="Calibri"/>
                <w:b/>
                <w:bCs/>
                <w:sz w:val="20"/>
              </w:rPr>
              <w:t>US GAAP</w:t>
            </w:r>
          </w:p>
        </w:tc>
        <w:tc>
          <w:tcPr>
            <w:tcW w:w="0" w:type="auto"/>
            <w:hideMark/>
          </w:tcPr>
          <w:p w14:paraId="0150701A" w14:textId="77777777" w:rsidR="00A97450" w:rsidRPr="00A97450" w:rsidRDefault="00A97450" w:rsidP="00A97450">
            <w:pPr>
              <w:jc w:val="left"/>
              <w:rPr>
                <w:rFonts w:ascii="Calibri" w:hAnsi="Calibri" w:cs="Calibri"/>
                <w:sz w:val="20"/>
              </w:rPr>
            </w:pPr>
            <w:r w:rsidRPr="00A97450">
              <w:rPr>
                <w:rFonts w:ascii="Calibri" w:hAnsi="Calibri" w:cs="Calibri"/>
                <w:sz w:val="20"/>
              </w:rPr>
              <w:t>Principes comptables généralement admis aux États-Unis.</w:t>
            </w:r>
          </w:p>
        </w:tc>
      </w:tr>
      <w:tr w:rsidR="00A97450" w:rsidRPr="00A97450" w14:paraId="13D571EA" w14:textId="77777777" w:rsidTr="00A97450">
        <w:tc>
          <w:tcPr>
            <w:tcW w:w="0" w:type="auto"/>
            <w:hideMark/>
          </w:tcPr>
          <w:p w14:paraId="607D0478" w14:textId="77777777" w:rsidR="00A97450" w:rsidRPr="00A97450" w:rsidRDefault="00A97450" w:rsidP="00A97450">
            <w:pPr>
              <w:jc w:val="left"/>
              <w:rPr>
                <w:rFonts w:ascii="Calibri" w:hAnsi="Calibri" w:cs="Calibri"/>
                <w:sz w:val="20"/>
              </w:rPr>
            </w:pPr>
            <w:r w:rsidRPr="00A97450">
              <w:rPr>
                <w:rFonts w:ascii="Calibri" w:hAnsi="Calibri" w:cs="Calibri"/>
                <w:b/>
                <w:bCs/>
                <w:sz w:val="20"/>
              </w:rPr>
              <w:t>M57</w:t>
            </w:r>
          </w:p>
        </w:tc>
        <w:tc>
          <w:tcPr>
            <w:tcW w:w="0" w:type="auto"/>
            <w:hideMark/>
          </w:tcPr>
          <w:p w14:paraId="37214EB6" w14:textId="77777777" w:rsidR="00A97450" w:rsidRPr="00A97450" w:rsidRDefault="00A97450" w:rsidP="00A97450">
            <w:pPr>
              <w:jc w:val="left"/>
              <w:rPr>
                <w:rFonts w:ascii="Calibri" w:hAnsi="Calibri" w:cs="Calibri"/>
                <w:sz w:val="20"/>
              </w:rPr>
            </w:pPr>
            <w:r w:rsidRPr="00A97450">
              <w:rPr>
                <w:rFonts w:ascii="Calibri" w:hAnsi="Calibri" w:cs="Calibri"/>
                <w:sz w:val="20"/>
              </w:rPr>
              <w:t>Référentiel budgétaire et comptable applicable aux entités publiques entrant dans son champ.</w:t>
            </w:r>
          </w:p>
        </w:tc>
      </w:tr>
      <w:tr w:rsidR="00A97450" w:rsidRPr="00A97450" w14:paraId="00560684" w14:textId="77777777" w:rsidTr="00A97450">
        <w:tc>
          <w:tcPr>
            <w:tcW w:w="0" w:type="auto"/>
            <w:hideMark/>
          </w:tcPr>
          <w:p w14:paraId="7E7FD0A8" w14:textId="77777777" w:rsidR="00A97450" w:rsidRPr="00A97450" w:rsidRDefault="00A97450" w:rsidP="00A97450">
            <w:pPr>
              <w:jc w:val="left"/>
              <w:rPr>
                <w:rFonts w:ascii="Calibri" w:hAnsi="Calibri" w:cs="Calibri"/>
                <w:sz w:val="20"/>
              </w:rPr>
            </w:pPr>
            <w:r w:rsidRPr="00A97450">
              <w:rPr>
                <w:rFonts w:ascii="Calibri" w:hAnsi="Calibri" w:cs="Calibri"/>
                <w:b/>
                <w:bCs/>
                <w:sz w:val="20"/>
              </w:rPr>
              <w:t>Changement de méthode</w:t>
            </w:r>
          </w:p>
        </w:tc>
        <w:tc>
          <w:tcPr>
            <w:tcW w:w="0" w:type="auto"/>
            <w:hideMark/>
          </w:tcPr>
          <w:p w14:paraId="0874B525" w14:textId="77777777" w:rsidR="00A97450" w:rsidRPr="00A97450" w:rsidRDefault="00A97450" w:rsidP="00A97450">
            <w:pPr>
              <w:jc w:val="left"/>
              <w:rPr>
                <w:rFonts w:ascii="Calibri" w:hAnsi="Calibri" w:cs="Calibri"/>
                <w:sz w:val="20"/>
              </w:rPr>
            </w:pPr>
            <w:r w:rsidRPr="00A97450">
              <w:rPr>
                <w:rFonts w:ascii="Calibri" w:hAnsi="Calibri" w:cs="Calibri"/>
                <w:sz w:val="20"/>
              </w:rPr>
              <w:t>Modification d’une méthode comptable dans les conditions prévues par le PCG.</w:t>
            </w:r>
          </w:p>
        </w:tc>
      </w:tr>
      <w:tr w:rsidR="00A97450" w:rsidRPr="00A97450" w14:paraId="1CB7737F" w14:textId="77777777" w:rsidTr="00A97450">
        <w:tc>
          <w:tcPr>
            <w:tcW w:w="0" w:type="auto"/>
            <w:hideMark/>
          </w:tcPr>
          <w:p w14:paraId="7F44A0A9" w14:textId="77777777" w:rsidR="00A97450" w:rsidRPr="00A97450" w:rsidRDefault="00A97450" w:rsidP="00A97450">
            <w:pPr>
              <w:jc w:val="left"/>
              <w:rPr>
                <w:rFonts w:ascii="Calibri" w:hAnsi="Calibri" w:cs="Calibri"/>
                <w:sz w:val="20"/>
              </w:rPr>
            </w:pPr>
            <w:r w:rsidRPr="00A97450">
              <w:rPr>
                <w:rFonts w:ascii="Calibri" w:hAnsi="Calibri" w:cs="Calibri"/>
                <w:b/>
                <w:bCs/>
                <w:sz w:val="20"/>
              </w:rPr>
              <w:t>Changement d’estimation</w:t>
            </w:r>
          </w:p>
        </w:tc>
        <w:tc>
          <w:tcPr>
            <w:tcW w:w="0" w:type="auto"/>
            <w:hideMark/>
          </w:tcPr>
          <w:p w14:paraId="06D461C5" w14:textId="77777777" w:rsidR="00A97450" w:rsidRPr="00A97450" w:rsidRDefault="00A97450" w:rsidP="00A97450">
            <w:pPr>
              <w:jc w:val="left"/>
              <w:rPr>
                <w:rFonts w:ascii="Calibri" w:hAnsi="Calibri" w:cs="Calibri"/>
                <w:sz w:val="20"/>
              </w:rPr>
            </w:pPr>
            <w:r w:rsidRPr="00A97450">
              <w:rPr>
                <w:rFonts w:ascii="Calibri" w:hAnsi="Calibri" w:cs="Calibri"/>
                <w:sz w:val="20"/>
              </w:rPr>
              <w:t>Révision d’une estimation à la suite de nouvelles informations, circonstances ou expérience.</w:t>
            </w:r>
          </w:p>
        </w:tc>
      </w:tr>
      <w:tr w:rsidR="00A97450" w:rsidRPr="00A97450" w14:paraId="18E97AEC" w14:textId="77777777" w:rsidTr="00A97450">
        <w:tc>
          <w:tcPr>
            <w:tcW w:w="0" w:type="auto"/>
            <w:hideMark/>
          </w:tcPr>
          <w:p w14:paraId="44D69A11" w14:textId="77777777" w:rsidR="00A97450" w:rsidRPr="00A97450" w:rsidRDefault="00A97450" w:rsidP="00A97450">
            <w:pPr>
              <w:jc w:val="left"/>
              <w:rPr>
                <w:rFonts w:ascii="Calibri" w:hAnsi="Calibri" w:cs="Calibri"/>
                <w:sz w:val="20"/>
              </w:rPr>
            </w:pPr>
            <w:r w:rsidRPr="00A97450">
              <w:rPr>
                <w:rFonts w:ascii="Calibri" w:hAnsi="Calibri" w:cs="Calibri"/>
                <w:b/>
                <w:bCs/>
                <w:sz w:val="20"/>
              </w:rPr>
              <w:t>Correction d’erreur</w:t>
            </w:r>
          </w:p>
        </w:tc>
        <w:tc>
          <w:tcPr>
            <w:tcW w:w="0" w:type="auto"/>
            <w:hideMark/>
          </w:tcPr>
          <w:p w14:paraId="77E14A3A" w14:textId="77777777" w:rsidR="00A97450" w:rsidRPr="00A97450" w:rsidRDefault="00A97450" w:rsidP="00A97450">
            <w:pPr>
              <w:jc w:val="left"/>
              <w:rPr>
                <w:rFonts w:ascii="Calibri" w:hAnsi="Calibri" w:cs="Calibri"/>
                <w:sz w:val="20"/>
              </w:rPr>
            </w:pPr>
            <w:r w:rsidRPr="00A97450">
              <w:rPr>
                <w:rFonts w:ascii="Calibri" w:hAnsi="Calibri" w:cs="Calibri"/>
                <w:sz w:val="20"/>
              </w:rPr>
              <w:t>Correction d’une omission, erreur matérielle, interprétation erronée ou méthode non admise.</w:t>
            </w:r>
          </w:p>
        </w:tc>
      </w:tr>
    </w:tbl>
    <w:p w14:paraId="501D8048" w14:textId="77777777" w:rsidR="00A97450" w:rsidRPr="00A97450" w:rsidRDefault="00A97450" w:rsidP="00A97450">
      <w:pPr>
        <w:spacing w:after="0" w:line="240" w:lineRule="auto"/>
        <w:rPr>
          <w:b/>
          <w:bCs/>
        </w:rPr>
      </w:pPr>
      <w:r w:rsidRPr="00A97450">
        <w:rPr>
          <w:b/>
          <w:bCs/>
        </w:rPr>
        <w:t>À retenir</w:t>
      </w:r>
    </w:p>
    <w:p w14:paraId="16CF2E1D" w14:textId="77777777" w:rsidR="00A97450" w:rsidRPr="00A97450" w:rsidRDefault="00A97450" w:rsidP="00A97450">
      <w:pPr>
        <w:spacing w:after="0" w:line="240" w:lineRule="auto"/>
      </w:pPr>
      <w:r w:rsidRPr="00A97450">
        <w:t xml:space="preserve">Le cadre comptable français s’insère dans un environnement de normalisation </w:t>
      </w:r>
      <w:r w:rsidRPr="00A97450">
        <w:rPr>
          <w:b/>
          <w:bCs/>
        </w:rPr>
        <w:t>national, européen et international</w:t>
      </w:r>
      <w:r w:rsidRPr="00A97450">
        <w:t>.</w:t>
      </w:r>
    </w:p>
    <w:p w14:paraId="2528CDDA" w14:textId="1C395562" w:rsidR="00A97450" w:rsidRPr="00A97450" w:rsidRDefault="00A97450" w:rsidP="00A97450">
      <w:pPr>
        <w:spacing w:after="0" w:line="240" w:lineRule="auto"/>
      </w:pPr>
      <w:r w:rsidRPr="00A97450">
        <w:t xml:space="preserve">Pour les comptes individuels relevant du droit comptable français, le </w:t>
      </w:r>
      <w:r w:rsidRPr="00A97450">
        <w:rPr>
          <w:b/>
          <w:bCs/>
        </w:rPr>
        <w:t>PCG</w:t>
      </w:r>
      <w:r w:rsidRPr="00A97450">
        <w:t xml:space="preserve"> constitue le référentiel central. Il doit être compris comme un ensemble de principes, de définitions, de règles d’évaluation, de comptabilisation et de présentation </w:t>
      </w:r>
      <w:r>
        <w:t>-</w:t>
      </w:r>
      <w:r w:rsidRPr="00A97450">
        <w:t xml:space="preserve"> et non comme une simple nomenclature.</w:t>
      </w:r>
    </w:p>
    <w:p w14:paraId="296DEA54" w14:textId="5E00BB03" w:rsidR="00A97450" w:rsidRPr="00A97450" w:rsidRDefault="00A97450" w:rsidP="00A97450">
      <w:pPr>
        <w:spacing w:after="0" w:line="240" w:lineRule="auto"/>
      </w:pPr>
      <w:r w:rsidRPr="00A97450">
        <w:t>Les principes comptables forment la logique du système</w:t>
      </w:r>
      <w:r>
        <w:t> :</w:t>
      </w:r>
    </w:p>
    <w:p w14:paraId="78C372F3" w14:textId="77777777" w:rsidR="00A97450" w:rsidRPr="00A97450" w:rsidRDefault="00A97450" w:rsidP="00A97450">
      <w:pPr>
        <w:spacing w:after="0" w:line="240" w:lineRule="auto"/>
      </w:pPr>
      <w:r w:rsidRPr="00A97450">
        <w:rPr>
          <w:b/>
          <w:bCs/>
        </w:rPr>
        <w:t>image fidèle – régularité – sincérité – comparabilité – continuité d’activité – prudence – permanence des méthodes – indépendance des exercices – coût historique – intangibilité du bilan d’ouverture – non-compensation – importance relative.</w:t>
      </w:r>
    </w:p>
    <w:p w14:paraId="574445EB" w14:textId="77777777" w:rsidR="00A97450" w:rsidRDefault="00A97450" w:rsidP="00A97450">
      <w:pPr>
        <w:spacing w:after="0" w:line="240" w:lineRule="auto"/>
      </w:pPr>
      <w:r w:rsidRPr="00A97450">
        <w:t xml:space="preserve">Ils permettent ensuite de </w:t>
      </w:r>
      <w:r w:rsidRPr="00A97450">
        <w:rPr>
          <w:b/>
          <w:bCs/>
        </w:rPr>
        <w:t>justifier les traitements comptables</w:t>
      </w:r>
      <w:r w:rsidRPr="00A97450">
        <w:t>, ce qui constitue l’un des attendus essentiels des épreuves de comptabilité.</w:t>
      </w:r>
    </w:p>
    <w:p w14:paraId="710D3BA6" w14:textId="12EADD9B" w:rsidR="000411E3" w:rsidRPr="00084E70" w:rsidRDefault="000411E3" w:rsidP="00A97450">
      <w:pPr>
        <w:spacing w:after="0" w:line="240" w:lineRule="auto"/>
      </w:pPr>
    </w:p>
    <w:sectPr w:rsidR="000411E3" w:rsidRPr="00084E70" w:rsidSect="00A97450">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B9811" w14:textId="77777777" w:rsidR="008B3E5A" w:rsidRDefault="008B3E5A" w:rsidP="00B870C7">
      <w:r>
        <w:separator/>
      </w:r>
    </w:p>
  </w:endnote>
  <w:endnote w:type="continuationSeparator" w:id="0">
    <w:p w14:paraId="51DD128C" w14:textId="77777777" w:rsidR="008B3E5A" w:rsidRDefault="008B3E5A"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D5BD1" w14:textId="77777777" w:rsidR="008B3E5A" w:rsidRDefault="008B3E5A" w:rsidP="00B870C7">
      <w:r>
        <w:separator/>
      </w:r>
    </w:p>
  </w:footnote>
  <w:footnote w:type="continuationSeparator" w:id="0">
    <w:p w14:paraId="5278DD42" w14:textId="77777777" w:rsidR="008B3E5A" w:rsidRDefault="008B3E5A"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7A63"/>
    <w:multiLevelType w:val="multilevel"/>
    <w:tmpl w:val="DDB4F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62B6D"/>
    <w:multiLevelType w:val="multilevel"/>
    <w:tmpl w:val="4BA8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82CDB"/>
    <w:multiLevelType w:val="multilevel"/>
    <w:tmpl w:val="F7EC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4712E3"/>
    <w:multiLevelType w:val="multilevel"/>
    <w:tmpl w:val="78BE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3C337D"/>
    <w:multiLevelType w:val="multilevel"/>
    <w:tmpl w:val="238E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DE06A6"/>
    <w:multiLevelType w:val="multilevel"/>
    <w:tmpl w:val="7490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B77CE3"/>
    <w:multiLevelType w:val="multilevel"/>
    <w:tmpl w:val="C65C2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473373"/>
    <w:multiLevelType w:val="multilevel"/>
    <w:tmpl w:val="EF1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75079B"/>
    <w:multiLevelType w:val="multilevel"/>
    <w:tmpl w:val="DC96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323B09"/>
    <w:multiLevelType w:val="multilevel"/>
    <w:tmpl w:val="0B72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E620BE"/>
    <w:multiLevelType w:val="multilevel"/>
    <w:tmpl w:val="A03EF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F5132A"/>
    <w:multiLevelType w:val="multilevel"/>
    <w:tmpl w:val="AF8AE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507598"/>
    <w:multiLevelType w:val="multilevel"/>
    <w:tmpl w:val="46D8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E61BE0"/>
    <w:multiLevelType w:val="multilevel"/>
    <w:tmpl w:val="0F92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815497"/>
    <w:multiLevelType w:val="multilevel"/>
    <w:tmpl w:val="E200B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F62854"/>
    <w:multiLevelType w:val="multilevel"/>
    <w:tmpl w:val="973C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E44F7C"/>
    <w:multiLevelType w:val="multilevel"/>
    <w:tmpl w:val="FF16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104302"/>
    <w:multiLevelType w:val="multilevel"/>
    <w:tmpl w:val="DB4EF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8A3B80"/>
    <w:multiLevelType w:val="multilevel"/>
    <w:tmpl w:val="C9E6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D7232B"/>
    <w:multiLevelType w:val="multilevel"/>
    <w:tmpl w:val="DCD8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982B7B"/>
    <w:multiLevelType w:val="multilevel"/>
    <w:tmpl w:val="B472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5628CC"/>
    <w:multiLevelType w:val="multilevel"/>
    <w:tmpl w:val="942C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6F688A"/>
    <w:multiLevelType w:val="multilevel"/>
    <w:tmpl w:val="8882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B87BBF"/>
    <w:multiLevelType w:val="multilevel"/>
    <w:tmpl w:val="3560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5F1769"/>
    <w:multiLevelType w:val="multilevel"/>
    <w:tmpl w:val="9AE0F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A664A1"/>
    <w:multiLevelType w:val="multilevel"/>
    <w:tmpl w:val="827C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982EE1"/>
    <w:multiLevelType w:val="multilevel"/>
    <w:tmpl w:val="35DC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E143D7"/>
    <w:multiLevelType w:val="multilevel"/>
    <w:tmpl w:val="83A6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5837E4"/>
    <w:multiLevelType w:val="multilevel"/>
    <w:tmpl w:val="E926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294647"/>
    <w:multiLevelType w:val="multilevel"/>
    <w:tmpl w:val="C540B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F45309"/>
    <w:multiLevelType w:val="multilevel"/>
    <w:tmpl w:val="914EC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083BEB"/>
    <w:multiLevelType w:val="multilevel"/>
    <w:tmpl w:val="ACD0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6F465C"/>
    <w:multiLevelType w:val="multilevel"/>
    <w:tmpl w:val="F744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B835F4"/>
    <w:multiLevelType w:val="multilevel"/>
    <w:tmpl w:val="3E76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DB0471"/>
    <w:multiLevelType w:val="multilevel"/>
    <w:tmpl w:val="2AB6E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4B1885"/>
    <w:multiLevelType w:val="multilevel"/>
    <w:tmpl w:val="C420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9A6FE2"/>
    <w:multiLevelType w:val="multilevel"/>
    <w:tmpl w:val="F288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B56479"/>
    <w:multiLevelType w:val="multilevel"/>
    <w:tmpl w:val="7DF0D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C4E2AE7"/>
    <w:multiLevelType w:val="multilevel"/>
    <w:tmpl w:val="3B827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E06D18"/>
    <w:multiLevelType w:val="multilevel"/>
    <w:tmpl w:val="0896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F34410"/>
    <w:multiLevelType w:val="multilevel"/>
    <w:tmpl w:val="DB54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CA05D4"/>
    <w:multiLevelType w:val="multilevel"/>
    <w:tmpl w:val="AB86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1D4F10"/>
    <w:multiLevelType w:val="multilevel"/>
    <w:tmpl w:val="D386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C64136"/>
    <w:multiLevelType w:val="multilevel"/>
    <w:tmpl w:val="FE2EC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A96819"/>
    <w:multiLevelType w:val="multilevel"/>
    <w:tmpl w:val="8EF0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2384991">
    <w:abstractNumId w:val="9"/>
  </w:num>
  <w:num w:numId="2" w16cid:durableId="1867013807">
    <w:abstractNumId w:val="20"/>
  </w:num>
  <w:num w:numId="3" w16cid:durableId="2035619619">
    <w:abstractNumId w:val="6"/>
  </w:num>
  <w:num w:numId="4" w16cid:durableId="447234848">
    <w:abstractNumId w:val="27"/>
  </w:num>
  <w:num w:numId="5" w16cid:durableId="578367023">
    <w:abstractNumId w:val="40"/>
  </w:num>
  <w:num w:numId="6" w16cid:durableId="10961317">
    <w:abstractNumId w:val="44"/>
  </w:num>
  <w:num w:numId="7" w16cid:durableId="1060714823">
    <w:abstractNumId w:val="8"/>
  </w:num>
  <w:num w:numId="8" w16cid:durableId="567496277">
    <w:abstractNumId w:val="1"/>
  </w:num>
  <w:num w:numId="9" w16cid:durableId="919212607">
    <w:abstractNumId w:val="23"/>
  </w:num>
  <w:num w:numId="10" w16cid:durableId="935015534">
    <w:abstractNumId w:val="13"/>
  </w:num>
  <w:num w:numId="11" w16cid:durableId="1846161968">
    <w:abstractNumId w:val="11"/>
  </w:num>
  <w:num w:numId="12" w16cid:durableId="1279217287">
    <w:abstractNumId w:val="3"/>
  </w:num>
  <w:num w:numId="13" w16cid:durableId="2076468216">
    <w:abstractNumId w:val="28"/>
  </w:num>
  <w:num w:numId="14" w16cid:durableId="1961454162">
    <w:abstractNumId w:val="35"/>
  </w:num>
  <w:num w:numId="15" w16cid:durableId="1491946886">
    <w:abstractNumId w:val="4"/>
  </w:num>
  <w:num w:numId="16" w16cid:durableId="1651246235">
    <w:abstractNumId w:val="18"/>
  </w:num>
  <w:num w:numId="17" w16cid:durableId="244190803">
    <w:abstractNumId w:val="33"/>
  </w:num>
  <w:num w:numId="18" w16cid:durableId="1434934883">
    <w:abstractNumId w:val="25"/>
  </w:num>
  <w:num w:numId="19" w16cid:durableId="1258174937">
    <w:abstractNumId w:val="30"/>
  </w:num>
  <w:num w:numId="20" w16cid:durableId="1770544703">
    <w:abstractNumId w:val="0"/>
  </w:num>
  <w:num w:numId="21" w16cid:durableId="332994346">
    <w:abstractNumId w:val="42"/>
  </w:num>
  <w:num w:numId="22" w16cid:durableId="2094664812">
    <w:abstractNumId w:val="39"/>
  </w:num>
  <w:num w:numId="23" w16cid:durableId="1710910363">
    <w:abstractNumId w:val="14"/>
  </w:num>
  <w:num w:numId="24" w16cid:durableId="684096739">
    <w:abstractNumId w:val="32"/>
  </w:num>
  <w:num w:numId="25" w16cid:durableId="1910262083">
    <w:abstractNumId w:val="38"/>
  </w:num>
  <w:num w:numId="26" w16cid:durableId="296566677">
    <w:abstractNumId w:val="5"/>
  </w:num>
  <w:num w:numId="27" w16cid:durableId="658726296">
    <w:abstractNumId w:val="41"/>
  </w:num>
  <w:num w:numId="28" w16cid:durableId="166360866">
    <w:abstractNumId w:val="34"/>
  </w:num>
  <w:num w:numId="29" w16cid:durableId="1194076107">
    <w:abstractNumId w:val="12"/>
  </w:num>
  <w:num w:numId="30" w16cid:durableId="1778327725">
    <w:abstractNumId w:val="26"/>
  </w:num>
  <w:num w:numId="31" w16cid:durableId="2012562255">
    <w:abstractNumId w:val="36"/>
  </w:num>
  <w:num w:numId="32" w16cid:durableId="1255356607">
    <w:abstractNumId w:val="43"/>
  </w:num>
  <w:num w:numId="33" w16cid:durableId="62728190">
    <w:abstractNumId w:val="19"/>
  </w:num>
  <w:num w:numId="34" w16cid:durableId="831409920">
    <w:abstractNumId w:val="37"/>
  </w:num>
  <w:num w:numId="35" w16cid:durableId="1379670472">
    <w:abstractNumId w:val="2"/>
  </w:num>
  <w:num w:numId="36" w16cid:durableId="935213487">
    <w:abstractNumId w:val="15"/>
  </w:num>
  <w:num w:numId="37" w16cid:durableId="1091122047">
    <w:abstractNumId w:val="7"/>
  </w:num>
  <w:num w:numId="38" w16cid:durableId="1841658112">
    <w:abstractNumId w:val="17"/>
  </w:num>
  <w:num w:numId="39" w16cid:durableId="718437585">
    <w:abstractNumId w:val="24"/>
  </w:num>
  <w:num w:numId="40" w16cid:durableId="1639072630">
    <w:abstractNumId w:val="16"/>
  </w:num>
  <w:num w:numId="41" w16cid:durableId="705637089">
    <w:abstractNumId w:val="22"/>
  </w:num>
  <w:num w:numId="42" w16cid:durableId="478424359">
    <w:abstractNumId w:val="21"/>
  </w:num>
  <w:num w:numId="43" w16cid:durableId="1341927451">
    <w:abstractNumId w:val="29"/>
  </w:num>
  <w:num w:numId="44" w16cid:durableId="846750344">
    <w:abstractNumId w:val="10"/>
  </w:num>
  <w:num w:numId="45" w16cid:durableId="1539977508">
    <w:abstractNumId w:val="3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84E70"/>
    <w:rsid w:val="000D6577"/>
    <w:rsid w:val="000F1177"/>
    <w:rsid w:val="0013392D"/>
    <w:rsid w:val="0013594E"/>
    <w:rsid w:val="00135CDD"/>
    <w:rsid w:val="001666DB"/>
    <w:rsid w:val="001B03F3"/>
    <w:rsid w:val="001C2E5A"/>
    <w:rsid w:val="001F5435"/>
    <w:rsid w:val="001F64D4"/>
    <w:rsid w:val="002439F2"/>
    <w:rsid w:val="002569B2"/>
    <w:rsid w:val="0026538A"/>
    <w:rsid w:val="00287044"/>
    <w:rsid w:val="002A54D6"/>
    <w:rsid w:val="002F2663"/>
    <w:rsid w:val="003028E5"/>
    <w:rsid w:val="00305E8E"/>
    <w:rsid w:val="003437AD"/>
    <w:rsid w:val="00355840"/>
    <w:rsid w:val="00375473"/>
    <w:rsid w:val="003C4213"/>
    <w:rsid w:val="003D4892"/>
    <w:rsid w:val="003D6FF4"/>
    <w:rsid w:val="003E0E50"/>
    <w:rsid w:val="003E639A"/>
    <w:rsid w:val="003E73E6"/>
    <w:rsid w:val="003F7676"/>
    <w:rsid w:val="004203D1"/>
    <w:rsid w:val="0042534D"/>
    <w:rsid w:val="004A6242"/>
    <w:rsid w:val="004B49D6"/>
    <w:rsid w:val="004D247E"/>
    <w:rsid w:val="004E074F"/>
    <w:rsid w:val="0050112B"/>
    <w:rsid w:val="005221A8"/>
    <w:rsid w:val="00541075"/>
    <w:rsid w:val="00580F46"/>
    <w:rsid w:val="0059110C"/>
    <w:rsid w:val="005962A0"/>
    <w:rsid w:val="005B4561"/>
    <w:rsid w:val="005E0DC3"/>
    <w:rsid w:val="00600E05"/>
    <w:rsid w:val="00613FDE"/>
    <w:rsid w:val="00630C5F"/>
    <w:rsid w:val="00632C58"/>
    <w:rsid w:val="00632EDC"/>
    <w:rsid w:val="0063472B"/>
    <w:rsid w:val="006460AB"/>
    <w:rsid w:val="00665A35"/>
    <w:rsid w:val="006C0415"/>
    <w:rsid w:val="006C6336"/>
    <w:rsid w:val="006D099F"/>
    <w:rsid w:val="00700DA4"/>
    <w:rsid w:val="00713AC4"/>
    <w:rsid w:val="007A110E"/>
    <w:rsid w:val="007A1353"/>
    <w:rsid w:val="007D52B4"/>
    <w:rsid w:val="007E1FF6"/>
    <w:rsid w:val="00800F72"/>
    <w:rsid w:val="00807899"/>
    <w:rsid w:val="00821279"/>
    <w:rsid w:val="008476EE"/>
    <w:rsid w:val="00867BAB"/>
    <w:rsid w:val="00867FF2"/>
    <w:rsid w:val="008B3E5A"/>
    <w:rsid w:val="008D1926"/>
    <w:rsid w:val="009115B1"/>
    <w:rsid w:val="00911C39"/>
    <w:rsid w:val="00931ED3"/>
    <w:rsid w:val="00991621"/>
    <w:rsid w:val="009B0B53"/>
    <w:rsid w:val="009B4249"/>
    <w:rsid w:val="009F0A1D"/>
    <w:rsid w:val="009F317A"/>
    <w:rsid w:val="009F5490"/>
    <w:rsid w:val="00A145DF"/>
    <w:rsid w:val="00A4325D"/>
    <w:rsid w:val="00A52414"/>
    <w:rsid w:val="00A662DC"/>
    <w:rsid w:val="00A878BE"/>
    <w:rsid w:val="00A94D14"/>
    <w:rsid w:val="00A9715C"/>
    <w:rsid w:val="00A97450"/>
    <w:rsid w:val="00AA6814"/>
    <w:rsid w:val="00AB3D3A"/>
    <w:rsid w:val="00AB6315"/>
    <w:rsid w:val="00AF5111"/>
    <w:rsid w:val="00B053B9"/>
    <w:rsid w:val="00B507B1"/>
    <w:rsid w:val="00B649B3"/>
    <w:rsid w:val="00B65E49"/>
    <w:rsid w:val="00B76104"/>
    <w:rsid w:val="00B870C7"/>
    <w:rsid w:val="00B9030D"/>
    <w:rsid w:val="00B906BB"/>
    <w:rsid w:val="00B9666C"/>
    <w:rsid w:val="00BA73A4"/>
    <w:rsid w:val="00BB2B03"/>
    <w:rsid w:val="00BD66AA"/>
    <w:rsid w:val="00C03F1D"/>
    <w:rsid w:val="00C43ED4"/>
    <w:rsid w:val="00C825EC"/>
    <w:rsid w:val="00C87F06"/>
    <w:rsid w:val="00CA4633"/>
    <w:rsid w:val="00CC4DE7"/>
    <w:rsid w:val="00D00629"/>
    <w:rsid w:val="00D503E9"/>
    <w:rsid w:val="00DA6E3D"/>
    <w:rsid w:val="00DD2902"/>
    <w:rsid w:val="00DE760B"/>
    <w:rsid w:val="00E07964"/>
    <w:rsid w:val="00E5775F"/>
    <w:rsid w:val="00E6799F"/>
    <w:rsid w:val="00E9016D"/>
    <w:rsid w:val="00EA2496"/>
    <w:rsid w:val="00ED2F14"/>
    <w:rsid w:val="00EF3D60"/>
    <w:rsid w:val="00F07238"/>
    <w:rsid w:val="00F26BAE"/>
    <w:rsid w:val="00F4784B"/>
    <w:rsid w:val="00F47F65"/>
    <w:rsid w:val="00F73967"/>
    <w:rsid w:val="00F83D28"/>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ED2F14"/>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5737</Words>
  <Characters>31557</Characters>
  <Application>Microsoft Office Word</Application>
  <DocSecurity>0</DocSecurity>
  <Lines>262</Lines>
  <Paragraphs>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4</cp:revision>
  <cp:lastPrinted>2024-10-21T07:08:00Z</cp:lastPrinted>
  <dcterms:created xsi:type="dcterms:W3CDTF">2026-08-12T19:10:00Z</dcterms:created>
  <dcterms:modified xsi:type="dcterms:W3CDTF">2026-08-12T19:13:00Z</dcterms:modified>
</cp:coreProperties>
</file>