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55B1E" w14:textId="234FE539" w:rsidR="00734B01" w:rsidRPr="000E1C6E" w:rsidRDefault="00734B01" w:rsidP="004407A9">
      <w:pPr>
        <w:pStyle w:val="Titre"/>
      </w:pPr>
      <w:r>
        <w:t xml:space="preserve">Droit d’auteur, </w:t>
      </w:r>
      <w:r w:rsidRPr="00734B01">
        <w:t>propriété</w:t>
      </w:r>
      <w:r>
        <w:t xml:space="preserve"> intellectuelle et intelligence artificielle</w:t>
      </w:r>
    </w:p>
    <w:p w14:paraId="7455816F" w14:textId="3818D9F2" w:rsidR="00734B01" w:rsidRPr="000E1C6E" w:rsidRDefault="00734B01" w:rsidP="004407A9">
      <w:pPr>
        <w:spacing w:after="0" w:line="240" w:lineRule="auto"/>
      </w:pPr>
      <w:r>
        <w:rPr>
          <w:b/>
          <w:color w:val="1F4E78"/>
          <w:sz w:val="26"/>
        </w:rPr>
        <w:t>FICHE JURIDIQUE</w:t>
      </w:r>
      <w:r w:rsidR="004407A9">
        <w:rPr>
          <w:b/>
          <w:color w:val="1F4E78"/>
          <w:sz w:val="26"/>
        </w:rPr>
        <w:t> :</w:t>
      </w:r>
      <w:r>
        <w:rPr>
          <w:b/>
          <w:color w:val="1F4E78"/>
          <w:sz w:val="26"/>
        </w:rPr>
        <w:t xml:space="preserve"> </w:t>
      </w:r>
      <w:r>
        <w:t>Règles applicables lorsque l’on prétend être l’auteur d’un écrit</w:t>
      </w:r>
    </w:p>
    <w:p w14:paraId="40432C7B" w14:textId="487CA7D9" w:rsidR="00734B01" w:rsidRDefault="00734B01" w:rsidP="004407A9">
      <w:pPr>
        <w:spacing w:after="0" w:line="240" w:lineRule="auto"/>
      </w:pPr>
      <w:r>
        <w:rPr>
          <w:b/>
          <w:color w:val="595959"/>
          <w:sz w:val="21"/>
        </w:rPr>
        <w:t>France / Union européenne - droit positif et jurisprudence au 6 août 2026</w:t>
      </w:r>
    </w:p>
    <w:p w14:paraId="1CED3FB7" w14:textId="6CACE7BD" w:rsidR="00734B01" w:rsidRPr="000E1C6E" w:rsidRDefault="00734B01" w:rsidP="004407A9">
      <w:pPr>
        <w:spacing w:after="0" w:line="240" w:lineRule="auto"/>
      </w:pPr>
    </w:p>
    <w:tbl>
      <w:tblPr>
        <w:tblStyle w:val="Grilledutableau"/>
        <w:tblW w:w="5000" w:type="pct"/>
        <w:tblLook w:val="04A0" w:firstRow="1" w:lastRow="0" w:firstColumn="1" w:lastColumn="0" w:noHBand="0" w:noVBand="1"/>
      </w:tblPr>
      <w:tblGrid>
        <w:gridCol w:w="10456"/>
      </w:tblGrid>
      <w:tr w:rsidR="00734B01" w:rsidRPr="004407A9" w14:paraId="4C61C017" w14:textId="77777777" w:rsidTr="004407A9">
        <w:trPr>
          <w:tblHeader/>
        </w:trPr>
        <w:tc>
          <w:tcPr>
            <w:tcW w:w="5000" w:type="pct"/>
          </w:tcPr>
          <w:p w14:paraId="4A35650F" w14:textId="77777777" w:rsidR="00734B01" w:rsidRPr="004407A9" w:rsidRDefault="00734B01" w:rsidP="004407A9">
            <w:pPr>
              <w:jc w:val="left"/>
              <w:rPr>
                <w:rFonts w:ascii="Calibri" w:hAnsi="Calibri" w:cs="Calibri"/>
                <w:sz w:val="20"/>
              </w:rPr>
            </w:pPr>
            <w:r w:rsidRPr="004407A9">
              <w:rPr>
                <w:rFonts w:ascii="Calibri" w:hAnsi="Calibri" w:cs="Calibri"/>
                <w:b/>
                <w:color w:val="17365D"/>
                <w:sz w:val="20"/>
              </w:rPr>
              <w:t>RÈGLE CARDINALE</w:t>
            </w:r>
          </w:p>
          <w:p w14:paraId="54B20474" w14:textId="6D1B8AAC" w:rsidR="00734B01" w:rsidRPr="004407A9" w:rsidRDefault="00734B01" w:rsidP="006D425B">
            <w:pPr>
              <w:rPr>
                <w:rFonts w:ascii="Calibri" w:hAnsi="Calibri" w:cs="Calibri"/>
                <w:sz w:val="20"/>
              </w:rPr>
            </w:pPr>
            <w:r w:rsidRPr="004407A9">
              <w:rPr>
                <w:rFonts w:ascii="Calibri" w:hAnsi="Calibri" w:cs="Calibri"/>
                <w:sz w:val="20"/>
              </w:rPr>
              <w:t>On ne devient pas juridiquement auteur en apposant son nom sur un texte. La qualité d’auteur suppose une contribution humaine originale, matérialisée dans l’expression finale par des choix libres et créatifs. Une intelligence artificielle peut être un outil</w:t>
            </w:r>
            <w:r w:rsidR="004407A9" w:rsidRPr="004407A9">
              <w:rPr>
                <w:rFonts w:ascii="Calibri" w:hAnsi="Calibri" w:cs="Calibri"/>
                <w:sz w:val="20"/>
              </w:rPr>
              <w:t> ;</w:t>
            </w:r>
            <w:r w:rsidRPr="004407A9">
              <w:rPr>
                <w:rFonts w:ascii="Calibri" w:hAnsi="Calibri" w:cs="Calibri"/>
                <w:sz w:val="20"/>
              </w:rPr>
              <w:t xml:space="preserve"> elle n’est pas, dans le cadre juridique français et européen actuel, un auteur titulaire de droits.</w:t>
            </w:r>
          </w:p>
        </w:tc>
      </w:tr>
    </w:tbl>
    <w:p w14:paraId="5D13060D" w14:textId="77777777" w:rsidR="00734B01" w:rsidRPr="000E1C6E" w:rsidRDefault="00734B01" w:rsidP="004407A9">
      <w:pPr>
        <w:spacing w:after="0" w:line="240" w:lineRule="auto"/>
      </w:pPr>
    </w:p>
    <w:p w14:paraId="381FAEE4" w14:textId="122EBA78" w:rsidR="004407A9" w:rsidRDefault="00734B01" w:rsidP="004407A9">
      <w:pPr>
        <w:spacing w:after="0" w:line="240" w:lineRule="auto"/>
      </w:pPr>
      <w:r>
        <w:rPr>
          <w:b/>
          <w:color w:val="17365D"/>
        </w:rPr>
        <w:t>Document autonome de référence et de conformité</w:t>
      </w:r>
      <w:r w:rsidR="004407A9">
        <w:rPr>
          <w:b/>
          <w:color w:val="17365D"/>
        </w:rPr>
        <w:t> :</w:t>
      </w:r>
      <w:r>
        <w:rPr>
          <w:b/>
          <w:color w:val="17365D"/>
        </w:rPr>
        <w:t xml:space="preserve"> </w:t>
      </w:r>
      <w:r>
        <w:t>Ne remplace pas une consultation individualisée en cas de litige ou d’exploitation à fort enjeu.</w:t>
      </w:r>
    </w:p>
    <w:p w14:paraId="5FD7D7F3" w14:textId="7067866E" w:rsidR="00734B01" w:rsidRDefault="00734B01" w:rsidP="00E52BD2">
      <w:pPr>
        <w:pStyle w:val="Titre1"/>
      </w:pPr>
      <w:bookmarkStart w:id="0" w:name="synthese"/>
      <w:bookmarkEnd w:id="0"/>
      <w:r>
        <w:t xml:space="preserve">1. Synthèse </w:t>
      </w:r>
      <w:r w:rsidR="00E52BD2">
        <w:t>questions - réponses</w:t>
      </w:r>
    </w:p>
    <w:tbl>
      <w:tblPr>
        <w:tblStyle w:val="Grilledutableau"/>
        <w:tblW w:w="5000" w:type="pct"/>
        <w:tblLook w:val="04A0" w:firstRow="1" w:lastRow="0" w:firstColumn="1" w:lastColumn="0" w:noHBand="0" w:noVBand="1"/>
      </w:tblPr>
      <w:tblGrid>
        <w:gridCol w:w="10456"/>
      </w:tblGrid>
      <w:tr w:rsidR="00734B01" w:rsidRPr="004407A9" w14:paraId="502D88F7" w14:textId="77777777" w:rsidTr="006D425B">
        <w:trPr>
          <w:tblHeader/>
        </w:trPr>
        <w:tc>
          <w:tcPr>
            <w:tcW w:w="5000" w:type="pct"/>
          </w:tcPr>
          <w:p w14:paraId="7FC104F1" w14:textId="77777777" w:rsidR="00734B01" w:rsidRPr="004407A9" w:rsidRDefault="00734B01" w:rsidP="004407A9">
            <w:pPr>
              <w:jc w:val="left"/>
              <w:rPr>
                <w:rFonts w:ascii="Calibri" w:hAnsi="Calibri" w:cs="Calibri"/>
                <w:sz w:val="20"/>
              </w:rPr>
            </w:pPr>
            <w:r w:rsidRPr="004407A9">
              <w:rPr>
                <w:rFonts w:ascii="Calibri" w:hAnsi="Calibri" w:cs="Calibri"/>
                <w:b/>
                <w:color w:val="17365D"/>
                <w:sz w:val="20"/>
              </w:rPr>
              <w:t>La réponse en une phrase</w:t>
            </w:r>
          </w:p>
          <w:p w14:paraId="76846542" w14:textId="2BB8A100" w:rsidR="00734B01" w:rsidRPr="004407A9" w:rsidRDefault="00734B01" w:rsidP="006D425B">
            <w:pPr>
              <w:rPr>
                <w:rFonts w:ascii="Calibri" w:hAnsi="Calibri" w:cs="Calibri"/>
                <w:sz w:val="20"/>
              </w:rPr>
            </w:pPr>
            <w:r w:rsidRPr="004407A9">
              <w:rPr>
                <w:rFonts w:ascii="Calibri" w:hAnsi="Calibri" w:cs="Calibri"/>
                <w:sz w:val="20"/>
              </w:rPr>
              <w:t>Une personne peut revendiquer la qualité d’auteur d’un écrit utilisant l’IA seulement dans la mesure où le texte final exprime ses propres choix humains libres et créatifs</w:t>
            </w:r>
            <w:r w:rsidR="004407A9" w:rsidRPr="004407A9">
              <w:rPr>
                <w:rFonts w:ascii="Calibri" w:hAnsi="Calibri" w:cs="Calibri"/>
                <w:sz w:val="20"/>
              </w:rPr>
              <w:t> ;</w:t>
            </w:r>
            <w:r w:rsidRPr="004407A9">
              <w:rPr>
                <w:rFonts w:ascii="Calibri" w:hAnsi="Calibri" w:cs="Calibri"/>
                <w:sz w:val="20"/>
              </w:rPr>
              <w:t xml:space="preserve"> les éléments générés sans maîtrise créative humaine identifiable ne deviennent pas protégés du seul fait qu’ils ont été sollicités, sélectionnés, relus ou signés.</w:t>
            </w:r>
          </w:p>
        </w:tc>
      </w:tr>
    </w:tbl>
    <w:p w14:paraId="7DEC4C76" w14:textId="77777777" w:rsidR="00734B01" w:rsidRPr="000E1C6E" w:rsidRDefault="00734B01" w:rsidP="004407A9">
      <w:pPr>
        <w:spacing w:after="0" w:line="240" w:lineRule="auto"/>
      </w:pPr>
    </w:p>
    <w:tbl>
      <w:tblPr>
        <w:tblStyle w:val="TableauGrille4-Accentuation2"/>
        <w:tblW w:w="0" w:type="auto"/>
        <w:tblLook w:val="04A0" w:firstRow="1" w:lastRow="0" w:firstColumn="1" w:lastColumn="0" w:noHBand="0" w:noVBand="1"/>
      </w:tblPr>
      <w:tblGrid>
        <w:gridCol w:w="3539"/>
        <w:gridCol w:w="6917"/>
      </w:tblGrid>
      <w:tr w:rsidR="00734B01" w:rsidRPr="004407A9" w14:paraId="40ED39EC"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D3E37CF" w14:textId="3668A938" w:rsidR="00734B01" w:rsidRPr="004407A9" w:rsidRDefault="00734B01" w:rsidP="004407A9">
            <w:pPr>
              <w:jc w:val="left"/>
              <w:rPr>
                <w:rFonts w:ascii="Calibri" w:hAnsi="Calibri" w:cs="Calibri"/>
                <w:color w:val="auto"/>
                <w:sz w:val="20"/>
              </w:rPr>
            </w:pPr>
            <w:r w:rsidRPr="004407A9">
              <w:rPr>
                <w:rFonts w:ascii="Calibri" w:hAnsi="Calibri" w:cs="Calibri"/>
                <w:color w:val="auto"/>
                <w:sz w:val="20"/>
              </w:rPr>
              <w:t>Question</w:t>
            </w:r>
          </w:p>
        </w:tc>
        <w:tc>
          <w:tcPr>
            <w:tcW w:w="6917" w:type="dxa"/>
          </w:tcPr>
          <w:p w14:paraId="06F0049A"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0"/>
              </w:rPr>
            </w:pPr>
            <w:r w:rsidRPr="004407A9">
              <w:rPr>
                <w:rFonts w:ascii="Calibri" w:hAnsi="Calibri" w:cs="Calibri"/>
                <w:color w:val="auto"/>
                <w:sz w:val="20"/>
              </w:rPr>
              <w:t>Réponse juridiquement sûre</w:t>
            </w:r>
          </w:p>
        </w:tc>
      </w:tr>
      <w:tr w:rsidR="00734B01" w:rsidRPr="004407A9" w14:paraId="394980A8"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7D3F27E" w14:textId="57BE7165" w:rsidR="00734B01" w:rsidRPr="004407A9" w:rsidRDefault="00734B01" w:rsidP="004407A9">
            <w:pPr>
              <w:jc w:val="left"/>
              <w:rPr>
                <w:rFonts w:ascii="Calibri" w:hAnsi="Calibri" w:cs="Calibri"/>
                <w:sz w:val="20"/>
              </w:rPr>
            </w:pPr>
            <w:r w:rsidRPr="004407A9">
              <w:rPr>
                <w:rFonts w:ascii="Calibri" w:hAnsi="Calibri" w:cs="Calibri"/>
                <w:sz w:val="20"/>
              </w:rPr>
              <w:t>Puis-je utiliser une IA et rester auteur</w:t>
            </w:r>
            <w:r w:rsidR="004407A9" w:rsidRPr="004407A9">
              <w:rPr>
                <w:rFonts w:ascii="Calibri" w:hAnsi="Calibri" w:cs="Calibri"/>
                <w:sz w:val="20"/>
              </w:rPr>
              <w:t> ?</w:t>
            </w:r>
          </w:p>
        </w:tc>
        <w:tc>
          <w:tcPr>
            <w:tcW w:w="6917" w:type="dxa"/>
          </w:tcPr>
          <w:p w14:paraId="490AAADB"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Oui, lorsque l’IA reste un outil et que la conception, l’argumentation, la structure et l’expression finale résultent de choix humains créatifs démontrables.</w:t>
            </w:r>
          </w:p>
        </w:tc>
      </w:tr>
      <w:tr w:rsidR="00734B01" w:rsidRPr="004407A9" w14:paraId="14C292B5" w14:textId="77777777" w:rsidTr="009111AC">
        <w:tc>
          <w:tcPr>
            <w:cnfStyle w:val="001000000000" w:firstRow="0" w:lastRow="0" w:firstColumn="1" w:lastColumn="0" w:oddVBand="0" w:evenVBand="0" w:oddHBand="0" w:evenHBand="0" w:firstRowFirstColumn="0" w:firstRowLastColumn="0" w:lastRowFirstColumn="0" w:lastRowLastColumn="0"/>
            <w:tcW w:w="3539" w:type="dxa"/>
          </w:tcPr>
          <w:p w14:paraId="53D9727D" w14:textId="69962458" w:rsidR="00734B01" w:rsidRPr="004407A9" w:rsidRDefault="00734B01" w:rsidP="004407A9">
            <w:pPr>
              <w:jc w:val="left"/>
              <w:rPr>
                <w:rFonts w:ascii="Calibri" w:hAnsi="Calibri" w:cs="Calibri"/>
                <w:sz w:val="20"/>
              </w:rPr>
            </w:pPr>
            <w:r w:rsidRPr="004407A9">
              <w:rPr>
                <w:rFonts w:ascii="Calibri" w:hAnsi="Calibri" w:cs="Calibri"/>
                <w:sz w:val="20"/>
              </w:rPr>
              <w:t>Un prompt élaboré suffit-il</w:t>
            </w:r>
            <w:r w:rsidR="004407A9" w:rsidRPr="004407A9">
              <w:rPr>
                <w:rFonts w:ascii="Calibri" w:hAnsi="Calibri" w:cs="Calibri"/>
                <w:sz w:val="20"/>
              </w:rPr>
              <w:t> ?</w:t>
            </w:r>
          </w:p>
        </w:tc>
        <w:tc>
          <w:tcPr>
            <w:tcW w:w="6917" w:type="dxa"/>
          </w:tcPr>
          <w:p w14:paraId="580A0DDC"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Pas automatiquement. En droit de l’Union, aucune jurisprudence contraignante n’établit qu’un prompt confère à lui seul un droit sur la sortie. Il faut apprécier la maîtrise effective de l’expression finale.</w:t>
            </w:r>
          </w:p>
        </w:tc>
      </w:tr>
      <w:tr w:rsidR="00734B01" w:rsidRPr="004407A9" w14:paraId="1AB47EE8"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782DECF" w14:textId="713BA884" w:rsidR="00734B01" w:rsidRPr="004407A9" w:rsidRDefault="00734B01" w:rsidP="004407A9">
            <w:pPr>
              <w:jc w:val="left"/>
              <w:rPr>
                <w:rFonts w:ascii="Calibri" w:hAnsi="Calibri" w:cs="Calibri"/>
                <w:sz w:val="20"/>
              </w:rPr>
            </w:pPr>
            <w:r w:rsidRPr="004407A9">
              <w:rPr>
                <w:rFonts w:ascii="Calibri" w:hAnsi="Calibri" w:cs="Calibri"/>
                <w:sz w:val="20"/>
              </w:rPr>
              <w:t>Puis-je signer un texte largement généré puis seulement corrigé</w:t>
            </w:r>
            <w:r w:rsidR="004407A9" w:rsidRPr="004407A9">
              <w:rPr>
                <w:rFonts w:ascii="Calibri" w:hAnsi="Calibri" w:cs="Calibri"/>
                <w:sz w:val="20"/>
              </w:rPr>
              <w:t> ?</w:t>
            </w:r>
          </w:p>
        </w:tc>
        <w:tc>
          <w:tcPr>
            <w:tcW w:w="6917" w:type="dxa"/>
          </w:tcPr>
          <w:p w14:paraId="42AA4F64" w14:textId="1B733FAB"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 signature crée une présomption simple, pas une création. Une correction orthographique, grammaticale, formelle ou une validation rapide ne suffit pas à démontrer l’</w:t>
            </w:r>
            <w:r w:rsidR="006D425B">
              <w:rPr>
                <w:rFonts w:ascii="Calibri" w:hAnsi="Calibri" w:cs="Calibri"/>
                <w:sz w:val="20"/>
              </w:rPr>
              <w:t xml:space="preserve"> «autorat»</w:t>
            </w:r>
            <w:r w:rsidRPr="004407A9">
              <w:rPr>
                <w:rFonts w:ascii="Calibri" w:hAnsi="Calibri" w:cs="Calibri"/>
                <w:sz w:val="20"/>
              </w:rPr>
              <w:t xml:space="preserve"> de l’expression générée.</w:t>
            </w:r>
          </w:p>
        </w:tc>
      </w:tr>
      <w:tr w:rsidR="00734B01" w:rsidRPr="004407A9" w14:paraId="357795A9" w14:textId="77777777" w:rsidTr="009111AC">
        <w:tc>
          <w:tcPr>
            <w:cnfStyle w:val="001000000000" w:firstRow="0" w:lastRow="0" w:firstColumn="1" w:lastColumn="0" w:oddVBand="0" w:evenVBand="0" w:oddHBand="0" w:evenHBand="0" w:firstRowFirstColumn="0" w:firstRowLastColumn="0" w:lastRowFirstColumn="0" w:lastRowLastColumn="0"/>
            <w:tcW w:w="3539" w:type="dxa"/>
          </w:tcPr>
          <w:p w14:paraId="19753A03" w14:textId="1E9B9F81" w:rsidR="00734B01" w:rsidRPr="004407A9" w:rsidRDefault="00734B01" w:rsidP="004407A9">
            <w:pPr>
              <w:jc w:val="left"/>
              <w:rPr>
                <w:rFonts w:ascii="Calibri" w:hAnsi="Calibri" w:cs="Calibri"/>
                <w:sz w:val="20"/>
              </w:rPr>
            </w:pPr>
            <w:r w:rsidRPr="004407A9">
              <w:rPr>
                <w:rFonts w:ascii="Calibri" w:hAnsi="Calibri" w:cs="Calibri"/>
                <w:sz w:val="20"/>
              </w:rPr>
              <w:t>Le texte IA non protégé est-il libre de tout risque</w:t>
            </w:r>
            <w:r w:rsidR="004407A9" w:rsidRPr="004407A9">
              <w:rPr>
                <w:rFonts w:ascii="Calibri" w:hAnsi="Calibri" w:cs="Calibri"/>
                <w:sz w:val="20"/>
              </w:rPr>
              <w:t> ?</w:t>
            </w:r>
          </w:p>
        </w:tc>
        <w:tc>
          <w:tcPr>
            <w:tcW w:w="6917" w:type="dxa"/>
          </w:tcPr>
          <w:p w14:paraId="413F539D"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Non. Il peut reproduire ou adapter une œuvre antérieure, violer un droit moral, une marque, un droit sur une base de données, un secret d’affaires, une obligation de confidentialité ou des règles relatives aux données personnelles.</w:t>
            </w:r>
          </w:p>
        </w:tc>
      </w:tr>
      <w:tr w:rsidR="00734B01" w:rsidRPr="004407A9" w14:paraId="20238849"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47B55640" w14:textId="4784D77D" w:rsidR="00734B01" w:rsidRPr="004407A9" w:rsidRDefault="00734B01" w:rsidP="004407A9">
            <w:pPr>
              <w:jc w:val="left"/>
              <w:rPr>
                <w:rFonts w:ascii="Calibri" w:hAnsi="Calibri" w:cs="Calibri"/>
                <w:sz w:val="20"/>
              </w:rPr>
            </w:pPr>
            <w:r w:rsidRPr="004407A9">
              <w:rPr>
                <w:rFonts w:ascii="Calibri" w:hAnsi="Calibri" w:cs="Calibri"/>
                <w:sz w:val="20"/>
              </w:rPr>
              <w:t>Dois-je toujours déclarer l’usage de l’IA</w:t>
            </w:r>
            <w:r w:rsidR="004407A9" w:rsidRPr="004407A9">
              <w:rPr>
                <w:rFonts w:ascii="Calibri" w:hAnsi="Calibri" w:cs="Calibri"/>
                <w:sz w:val="20"/>
              </w:rPr>
              <w:t> ?</w:t>
            </w:r>
          </w:p>
        </w:tc>
        <w:tc>
          <w:tcPr>
            <w:tcW w:w="6917" w:type="dxa"/>
          </w:tcPr>
          <w:p w14:paraId="12BAB7A2"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Pas toujours au titre du droit d’auteur. Mais un contrat, un règlement d’examen, une charte éditoriale ou l’article 50 de l’AI Act peuvent imposer une transparence distincte.</w:t>
            </w:r>
          </w:p>
        </w:tc>
      </w:tr>
      <w:tr w:rsidR="00734B01" w:rsidRPr="004407A9" w14:paraId="112F698B" w14:textId="77777777" w:rsidTr="009111AC">
        <w:tc>
          <w:tcPr>
            <w:cnfStyle w:val="001000000000" w:firstRow="0" w:lastRow="0" w:firstColumn="1" w:lastColumn="0" w:oddVBand="0" w:evenVBand="0" w:oddHBand="0" w:evenHBand="0" w:firstRowFirstColumn="0" w:firstRowLastColumn="0" w:lastRowFirstColumn="0" w:lastRowLastColumn="0"/>
            <w:tcW w:w="3539" w:type="dxa"/>
          </w:tcPr>
          <w:p w14:paraId="0E302879" w14:textId="493C72D8" w:rsidR="00734B01" w:rsidRPr="004407A9" w:rsidRDefault="00734B01" w:rsidP="004407A9">
            <w:pPr>
              <w:jc w:val="left"/>
              <w:rPr>
                <w:rFonts w:ascii="Calibri" w:hAnsi="Calibri" w:cs="Calibri"/>
                <w:sz w:val="20"/>
              </w:rPr>
            </w:pPr>
            <w:r w:rsidRPr="004407A9">
              <w:rPr>
                <w:rFonts w:ascii="Calibri" w:hAnsi="Calibri" w:cs="Calibri"/>
                <w:sz w:val="20"/>
              </w:rPr>
              <w:t>Une personne morale peut-elle être auteur</w:t>
            </w:r>
            <w:r w:rsidR="004407A9" w:rsidRPr="004407A9">
              <w:rPr>
                <w:rFonts w:ascii="Calibri" w:hAnsi="Calibri" w:cs="Calibri"/>
                <w:sz w:val="20"/>
              </w:rPr>
              <w:t> ?</w:t>
            </w:r>
          </w:p>
        </w:tc>
        <w:tc>
          <w:tcPr>
            <w:tcW w:w="6917" w:type="dxa"/>
          </w:tcPr>
          <w:p w14:paraId="688D562A"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Elle ne crée pas matériellement l’œuvre comme une personne physique. Elle peut toutefois être investie de droits, notamment pour une œuvre collective, par cession ou par présomption de titularité liée à une exploitation non équivoque.</w:t>
            </w:r>
          </w:p>
        </w:tc>
      </w:tr>
    </w:tbl>
    <w:p w14:paraId="62F0BCA1" w14:textId="77777777" w:rsidR="00734B01" w:rsidRPr="000E1C6E" w:rsidRDefault="00734B01" w:rsidP="004407A9">
      <w:pPr>
        <w:spacing w:after="0" w:line="240" w:lineRule="auto"/>
      </w:pPr>
    </w:p>
    <w:p w14:paraId="48816319" w14:textId="209ED23E" w:rsidR="00734B01" w:rsidRPr="000E1C6E" w:rsidRDefault="00734B01" w:rsidP="009111AC">
      <w:pPr>
        <w:pStyle w:val="Titre2"/>
      </w:pPr>
      <w:r>
        <w:t>Cinq questions qu’il ne faut jamais confondre</w:t>
      </w:r>
    </w:p>
    <w:p w14:paraId="26C3A487" w14:textId="50CB0A6E" w:rsidR="00734B01" w:rsidRPr="000E1C6E" w:rsidRDefault="00734B01" w:rsidP="004407A9">
      <w:pPr>
        <w:pStyle w:val="Listenumros"/>
        <w:tabs>
          <w:tab w:val="num" w:pos="360"/>
        </w:tabs>
        <w:spacing w:after="0" w:line="240" w:lineRule="auto"/>
        <w:ind w:left="360" w:hanging="360"/>
        <w:jc w:val="both"/>
        <w:rPr>
          <w:lang w:val="fr-FR"/>
        </w:rPr>
      </w:pPr>
      <w:r>
        <w:rPr>
          <w:lang w:val="fr-FR"/>
        </w:rPr>
        <w:t>Qui a effectivement créé l’expression originale</w:t>
      </w:r>
      <w:r w:rsidR="004407A9">
        <w:rPr>
          <w:lang w:val="fr-FR"/>
        </w:rPr>
        <w:t> ?</w:t>
      </w:r>
      <w:r>
        <w:rPr>
          <w:lang w:val="fr-FR"/>
        </w:rPr>
        <w:t xml:space="preserve"> C’est la question de l’</w:t>
      </w:r>
      <w:r w:rsidR="006D425B">
        <w:rPr>
          <w:lang w:val="fr-FR"/>
        </w:rPr>
        <w:t xml:space="preserve"> «autorat»</w:t>
      </w:r>
      <w:r>
        <w:rPr>
          <w:lang w:val="fr-FR"/>
        </w:rPr>
        <w:t>.</w:t>
      </w:r>
    </w:p>
    <w:p w14:paraId="3A8B9ED8" w14:textId="452368DB" w:rsidR="00734B01" w:rsidRPr="000E1C6E" w:rsidRDefault="00734B01" w:rsidP="004407A9">
      <w:pPr>
        <w:pStyle w:val="Listenumros"/>
        <w:tabs>
          <w:tab w:val="num" w:pos="360"/>
        </w:tabs>
        <w:spacing w:after="0" w:line="240" w:lineRule="auto"/>
        <w:ind w:left="360" w:hanging="360"/>
        <w:jc w:val="both"/>
        <w:rPr>
          <w:lang w:val="fr-FR"/>
        </w:rPr>
      </w:pPr>
      <w:r>
        <w:rPr>
          <w:lang w:val="fr-FR"/>
        </w:rPr>
        <w:t>Le résultat atteint-il le seuil d’originalité</w:t>
      </w:r>
      <w:r w:rsidR="004407A9">
        <w:rPr>
          <w:lang w:val="fr-FR"/>
        </w:rPr>
        <w:t> ?</w:t>
      </w:r>
      <w:r>
        <w:rPr>
          <w:lang w:val="fr-FR"/>
        </w:rPr>
        <w:t xml:space="preserve"> C’est la question de la protection.</w:t>
      </w:r>
    </w:p>
    <w:p w14:paraId="1959891B" w14:textId="496A220B" w:rsidR="00734B01" w:rsidRPr="000E1C6E" w:rsidRDefault="00734B01" w:rsidP="004407A9">
      <w:pPr>
        <w:pStyle w:val="Listenumros"/>
        <w:tabs>
          <w:tab w:val="num" w:pos="360"/>
        </w:tabs>
        <w:spacing w:after="0" w:line="240" w:lineRule="auto"/>
        <w:ind w:left="360" w:hanging="360"/>
        <w:jc w:val="both"/>
        <w:rPr>
          <w:lang w:val="fr-FR"/>
        </w:rPr>
      </w:pPr>
      <w:r>
        <w:rPr>
          <w:lang w:val="fr-FR"/>
        </w:rPr>
        <w:t>Qui détient les droits patrimoniaux</w:t>
      </w:r>
      <w:r w:rsidR="004407A9">
        <w:rPr>
          <w:lang w:val="fr-FR"/>
        </w:rPr>
        <w:t> ?</w:t>
      </w:r>
      <w:r>
        <w:rPr>
          <w:lang w:val="fr-FR"/>
        </w:rPr>
        <w:t xml:space="preserve"> C’est la question de la titularité et des contrats.</w:t>
      </w:r>
    </w:p>
    <w:p w14:paraId="1AED92F9" w14:textId="71D6CE23" w:rsidR="00734B01" w:rsidRDefault="00734B01" w:rsidP="004407A9">
      <w:pPr>
        <w:pStyle w:val="Listenumros"/>
        <w:tabs>
          <w:tab w:val="num" w:pos="360"/>
        </w:tabs>
        <w:spacing w:after="0" w:line="240" w:lineRule="auto"/>
        <w:ind w:left="360" w:hanging="360"/>
        <w:jc w:val="both"/>
      </w:pPr>
      <w:r>
        <w:rPr>
          <w:lang w:val="fr-FR"/>
        </w:rPr>
        <w:t>Le résultat respecte-t-il les droits sur les sources et les éléments tiers</w:t>
      </w:r>
      <w:r w:rsidR="004407A9">
        <w:rPr>
          <w:lang w:val="fr-FR"/>
        </w:rPr>
        <w:t> ?</w:t>
      </w:r>
      <w:r>
        <w:rPr>
          <w:lang w:val="fr-FR"/>
        </w:rPr>
        <w:t xml:space="preserve"> C’est la question de la licéité.</w:t>
      </w:r>
    </w:p>
    <w:p w14:paraId="272C1CD8" w14:textId="4FF60ACA" w:rsidR="00734B01" w:rsidRPr="000E1C6E" w:rsidRDefault="00734B01" w:rsidP="004407A9">
      <w:pPr>
        <w:pStyle w:val="Listenumros"/>
        <w:tabs>
          <w:tab w:val="num" w:pos="360"/>
        </w:tabs>
        <w:spacing w:after="0" w:line="240" w:lineRule="auto"/>
        <w:ind w:left="360" w:hanging="360"/>
        <w:jc w:val="both"/>
        <w:rPr>
          <w:lang w:val="fr-FR"/>
        </w:rPr>
      </w:pPr>
      <w:r>
        <w:rPr>
          <w:lang w:val="fr-FR"/>
        </w:rPr>
        <w:t>Faut-il informer le public de l’usage de l’IA</w:t>
      </w:r>
      <w:r w:rsidR="004407A9">
        <w:rPr>
          <w:lang w:val="fr-FR"/>
        </w:rPr>
        <w:t> ?</w:t>
      </w:r>
      <w:r>
        <w:rPr>
          <w:lang w:val="fr-FR"/>
        </w:rPr>
        <w:t xml:space="preserve"> C’est la question de la transparence, notamment au titre de l’article 50 de l’AI Act.</w:t>
      </w:r>
    </w:p>
    <w:p w14:paraId="625B61C2" w14:textId="0EC10642"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CPI, art. L. 111-1, L. 112-1, L. 113-1, L. 121-1</w:t>
      </w:r>
      <w:r w:rsidR="004407A9">
        <w:rPr>
          <w:lang w:val="fr-FR"/>
        </w:rPr>
        <w:t> ;</w:t>
      </w:r>
      <w:r>
        <w:rPr>
          <w:lang w:val="fr-FR"/>
        </w:rPr>
        <w:t xml:space="preserve"> CJUE, Infopaq, Painer, Cofemel et Călinescu</w:t>
      </w:r>
      <w:r w:rsidR="004407A9">
        <w:rPr>
          <w:lang w:val="fr-FR"/>
        </w:rPr>
        <w:t> ;</w:t>
      </w:r>
      <w:r>
        <w:rPr>
          <w:lang w:val="fr-FR"/>
        </w:rPr>
        <w:t xml:space="preserve"> règlement (UE) 2024/1689, art. 50.</w:t>
      </w:r>
    </w:p>
    <w:p w14:paraId="66C240C4" w14:textId="454549BB" w:rsidR="00734B01" w:rsidRPr="000E1C6E" w:rsidRDefault="00734B01" w:rsidP="00E52BD2">
      <w:pPr>
        <w:pStyle w:val="Titre1"/>
      </w:pPr>
      <w:bookmarkStart w:id="1" w:name="auteur"/>
      <w:bookmarkEnd w:id="1"/>
      <w:r>
        <w:lastRenderedPageBreak/>
        <w:t xml:space="preserve">2. Quand peut-on </w:t>
      </w:r>
      <w:r w:rsidRPr="00734B01">
        <w:t>juridiquement</w:t>
      </w:r>
      <w:r>
        <w:t xml:space="preserve"> prétendre être auteur d’un écrit</w:t>
      </w:r>
      <w:r w:rsidR="004407A9">
        <w:t> ?</w:t>
      </w:r>
    </w:p>
    <w:p w14:paraId="453B919E" w14:textId="77777777" w:rsidR="00734B01" w:rsidRPr="000E1C6E" w:rsidRDefault="00734B01" w:rsidP="009111AC">
      <w:pPr>
        <w:pStyle w:val="Titre2"/>
      </w:pPr>
      <w:r>
        <w:t>2.1. La qualité d’auteur ne résulte pas de la seule signature</w:t>
      </w:r>
    </w:p>
    <w:p w14:paraId="194E4240" w14:textId="5EBE590B" w:rsidR="00734B01" w:rsidRPr="000E1C6E" w:rsidRDefault="00734B01" w:rsidP="004407A9">
      <w:pPr>
        <w:spacing w:after="0" w:line="240" w:lineRule="auto"/>
      </w:pPr>
      <w:r>
        <w:t>L’article L. 113-1 du Code de la propriété intellectuelle prévoit que la qualité d’auteur appartient, sauf preuve contraire, à la personne sous le nom de laquelle l’œuvre est divulguée. Cette règle est une présomption probatoire</w:t>
      </w:r>
      <w:r w:rsidR="004407A9">
        <w:t> :</w:t>
      </w:r>
      <w:r>
        <w:t xml:space="preserve"> elle facilite la preuve, mais elle peut être renversée. Le fait de mettre son nom sur un texte ne transforme donc pas une production automatique en création humaine.</w:t>
      </w:r>
    </w:p>
    <w:p w14:paraId="6A5061A5" w14:textId="69AD3951" w:rsidR="00734B01" w:rsidRPr="000E1C6E" w:rsidRDefault="00734B01" w:rsidP="004407A9">
      <w:pPr>
        <w:spacing w:after="0" w:line="240" w:lineRule="auto"/>
      </w:pPr>
      <w:r>
        <w:t>La personne qui revendique un droit doit être en mesure d’identifier ses contributions créatives</w:t>
      </w:r>
      <w:r w:rsidR="004407A9">
        <w:t> :</w:t>
      </w:r>
      <w:r>
        <w:t xml:space="preserve"> choix de l’angle, architecture du raisonnement, sélection et hiérarchisation des informations, formulation, enchaînements, exemples, style, synthèse et réécriture. Le temps passé, la compétence technique, le coût de l’outil ou le nombre d’itérations ne remplacent pas l’originalité.</w:t>
      </w:r>
    </w:p>
    <w:p w14:paraId="28BEF353" w14:textId="0D6AB9E3"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CPI, art. L. 113-1</w:t>
      </w:r>
      <w:r w:rsidR="004407A9">
        <w:rPr>
          <w:lang w:val="fr-FR"/>
        </w:rPr>
        <w:t> ;</w:t>
      </w:r>
      <w:r>
        <w:rPr>
          <w:lang w:val="fr-FR"/>
        </w:rPr>
        <w:t xml:space="preserve"> CJUE, 1er mars 2012, Football Dataco, C-604/10</w:t>
      </w:r>
      <w:r w:rsidR="004407A9">
        <w:rPr>
          <w:lang w:val="fr-FR"/>
        </w:rPr>
        <w:t> ;</w:t>
      </w:r>
      <w:r>
        <w:rPr>
          <w:lang w:val="fr-FR"/>
        </w:rPr>
        <w:t xml:space="preserve"> CJUE, 19 mars 2026, Călinescu, C-649/23.</w:t>
      </w:r>
    </w:p>
    <w:p w14:paraId="40897EB6" w14:textId="77777777" w:rsidR="00734B01" w:rsidRPr="000E1C6E" w:rsidRDefault="00734B01" w:rsidP="009111AC">
      <w:pPr>
        <w:pStyle w:val="Titre2"/>
      </w:pPr>
      <w:r>
        <w:t xml:space="preserve">2.2. Les deux </w:t>
      </w:r>
      <w:r w:rsidRPr="00734B01">
        <w:t>conditions</w:t>
      </w:r>
      <w:r>
        <w:t xml:space="preserve"> cumulatives de l’œuvre protégée</w:t>
      </w:r>
    </w:p>
    <w:tbl>
      <w:tblPr>
        <w:tblStyle w:val="TableauGrille4-Accentuation2"/>
        <w:tblW w:w="0" w:type="auto"/>
        <w:tblLook w:val="04A0" w:firstRow="1" w:lastRow="0" w:firstColumn="1" w:lastColumn="0" w:noHBand="0" w:noVBand="1"/>
      </w:tblPr>
      <w:tblGrid>
        <w:gridCol w:w="2405"/>
        <w:gridCol w:w="3686"/>
        <w:gridCol w:w="4365"/>
      </w:tblGrid>
      <w:tr w:rsidR="00734B01" w:rsidRPr="004407A9" w14:paraId="476F79E7"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5CED17F"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Condition</w:t>
            </w:r>
          </w:p>
        </w:tc>
        <w:tc>
          <w:tcPr>
            <w:tcW w:w="3686" w:type="dxa"/>
          </w:tcPr>
          <w:p w14:paraId="1A47FCFC"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Contenu</w:t>
            </w:r>
          </w:p>
        </w:tc>
        <w:tc>
          <w:tcPr>
            <w:tcW w:w="4365" w:type="dxa"/>
          </w:tcPr>
          <w:p w14:paraId="56C10F29"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Conséquence pour un écrit assisté par IA</w:t>
            </w:r>
          </w:p>
        </w:tc>
      </w:tr>
      <w:tr w:rsidR="00734B01" w:rsidRPr="004407A9" w14:paraId="510E8067"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AA45CE0" w14:textId="77777777" w:rsidR="00734B01" w:rsidRPr="004407A9" w:rsidRDefault="00734B01" w:rsidP="004407A9">
            <w:pPr>
              <w:jc w:val="left"/>
              <w:rPr>
                <w:rFonts w:ascii="Calibri" w:hAnsi="Calibri" w:cs="Calibri"/>
                <w:sz w:val="20"/>
              </w:rPr>
            </w:pPr>
            <w:r w:rsidRPr="004407A9">
              <w:rPr>
                <w:rFonts w:ascii="Calibri" w:hAnsi="Calibri" w:cs="Calibri"/>
                <w:sz w:val="20"/>
              </w:rPr>
              <w:t>Originalité</w:t>
            </w:r>
          </w:p>
        </w:tc>
        <w:tc>
          <w:tcPr>
            <w:tcW w:w="3686" w:type="dxa"/>
          </w:tcPr>
          <w:p w14:paraId="2E8BBB91"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Le résultat doit être une création intellectuelle propre à son auteur, reflétant sa personnalité par des choix libres et créatifs.</w:t>
            </w:r>
          </w:p>
        </w:tc>
        <w:tc>
          <w:tcPr>
            <w:tcW w:w="4365" w:type="dxa"/>
          </w:tcPr>
          <w:p w14:paraId="41A77A60"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Il faut pouvoir rattacher des choix expressifs concrets à une personne humaine. Une intention générale ou une consigne de résultat ne suffit pas.</w:t>
            </w:r>
          </w:p>
        </w:tc>
      </w:tr>
      <w:tr w:rsidR="00734B01" w:rsidRPr="004407A9" w14:paraId="1101C3A0" w14:textId="77777777" w:rsidTr="009111AC">
        <w:tc>
          <w:tcPr>
            <w:cnfStyle w:val="001000000000" w:firstRow="0" w:lastRow="0" w:firstColumn="1" w:lastColumn="0" w:oddVBand="0" w:evenVBand="0" w:oddHBand="0" w:evenHBand="0" w:firstRowFirstColumn="0" w:firstRowLastColumn="0" w:lastRowFirstColumn="0" w:lastRowLastColumn="0"/>
            <w:tcW w:w="2405" w:type="dxa"/>
          </w:tcPr>
          <w:p w14:paraId="3460CCDB" w14:textId="77777777" w:rsidR="00734B01" w:rsidRPr="004407A9" w:rsidRDefault="00734B01" w:rsidP="004407A9">
            <w:pPr>
              <w:jc w:val="left"/>
              <w:rPr>
                <w:rFonts w:ascii="Calibri" w:hAnsi="Calibri" w:cs="Calibri"/>
                <w:sz w:val="20"/>
              </w:rPr>
            </w:pPr>
            <w:r w:rsidRPr="004407A9">
              <w:rPr>
                <w:rFonts w:ascii="Calibri" w:hAnsi="Calibri" w:cs="Calibri"/>
                <w:sz w:val="20"/>
              </w:rPr>
              <w:t>Expression identifiable</w:t>
            </w:r>
          </w:p>
        </w:tc>
        <w:tc>
          <w:tcPr>
            <w:tcW w:w="3686" w:type="dxa"/>
          </w:tcPr>
          <w:p w14:paraId="009FB472"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L’objet revendiqué doit être exprimé et identifiable avec suffisamment de précision et d’objectivité.</w:t>
            </w:r>
          </w:p>
        </w:tc>
        <w:tc>
          <w:tcPr>
            <w:tcW w:w="4365" w:type="dxa"/>
          </w:tcPr>
          <w:p w14:paraId="09DA2673" w14:textId="428EA3ED"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Il faut délimiter ce qui est humain</w:t>
            </w:r>
            <w:r w:rsidR="004407A9" w:rsidRPr="004407A9">
              <w:rPr>
                <w:rFonts w:ascii="Calibri" w:hAnsi="Calibri" w:cs="Calibri"/>
                <w:sz w:val="20"/>
              </w:rPr>
              <w:t> :</w:t>
            </w:r>
            <w:r w:rsidRPr="004407A9">
              <w:rPr>
                <w:rFonts w:ascii="Calibri" w:hAnsi="Calibri" w:cs="Calibri"/>
                <w:sz w:val="20"/>
              </w:rPr>
              <w:t xml:space="preserve"> plan, passages, formulation, sélection, arrangement, annotations ou réécriture.</w:t>
            </w:r>
          </w:p>
        </w:tc>
      </w:tr>
    </w:tbl>
    <w:p w14:paraId="0BBA98CC" w14:textId="77777777" w:rsidR="00734B01" w:rsidRPr="000E1C6E" w:rsidRDefault="00734B01" w:rsidP="004407A9">
      <w:pPr>
        <w:spacing w:after="0" w:line="240" w:lineRule="auto"/>
      </w:pPr>
    </w:p>
    <w:p w14:paraId="108486C4" w14:textId="77777777" w:rsidR="00734B01" w:rsidRPr="000E1C6E" w:rsidRDefault="00734B01" w:rsidP="004407A9">
      <w:pPr>
        <w:spacing w:after="0" w:line="240" w:lineRule="auto"/>
      </w:pPr>
      <w:r>
        <w:t>Les idées, faits, informations, méthodes, procédures, concepts et thèmes ne sont pas protégés en eux-mêmes. La protection porte sur leur mise en forme originale. Un texte factuel, banal, imposé par un formulaire ou entièrement dicté par des contraintes peut ne pas être protégé, même s’il a demandé beaucoup de travail.</w:t>
      </w:r>
    </w:p>
    <w:p w14:paraId="4732D552" w14:textId="540E4D94"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CPI, art. L. 112-1</w:t>
      </w:r>
      <w:r w:rsidR="004407A9">
        <w:rPr>
          <w:lang w:val="fr-FR"/>
        </w:rPr>
        <w:t> ;</w:t>
      </w:r>
      <w:r>
        <w:rPr>
          <w:lang w:val="fr-FR"/>
        </w:rPr>
        <w:t xml:space="preserve"> CJUE, 13 nov. 2018, Levola Hengelo, C-310/17</w:t>
      </w:r>
      <w:r w:rsidR="004407A9">
        <w:rPr>
          <w:lang w:val="fr-FR"/>
        </w:rPr>
        <w:t> ;</w:t>
      </w:r>
      <w:r>
        <w:rPr>
          <w:lang w:val="fr-FR"/>
        </w:rPr>
        <w:t xml:space="preserve"> CJUE, 12 sept. 2019, Cofemel, C-683/17.</w:t>
      </w:r>
    </w:p>
    <w:p w14:paraId="042E9142" w14:textId="77777777" w:rsidR="00734B01" w:rsidRPr="000E1C6E" w:rsidRDefault="00734B01" w:rsidP="009111AC">
      <w:pPr>
        <w:pStyle w:val="Titre2"/>
      </w:pPr>
      <w:r>
        <w:t>2.3. Une IA n’est pas un coauteur</w:t>
      </w:r>
    </w:p>
    <w:p w14:paraId="09874056" w14:textId="77777777" w:rsidR="00734B01" w:rsidRPr="000E1C6E" w:rsidRDefault="00734B01" w:rsidP="004407A9">
      <w:pPr>
        <w:spacing w:after="0" w:line="240" w:lineRule="auto"/>
      </w:pPr>
      <w:r>
        <w:t>Le droit français et le droit de l’Union raisonnent à partir d’un auteur dont la personnalité s’exprime par des choix libres et créatifs. Dans ce cadre, l’IA n’a ni personnalité juridique créatrice, ni droit moral, ni droit patrimonial propre. Elle ne doit donc pas être indiquée comme coauteur au sens du Code de la propriété intellectuelle.</w:t>
      </w:r>
    </w:p>
    <w:p w14:paraId="24BBCEED" w14:textId="77777777" w:rsidR="00734B01" w:rsidRPr="000E1C6E" w:rsidRDefault="00734B01" w:rsidP="004407A9">
      <w:pPr>
        <w:spacing w:after="0" w:line="240" w:lineRule="auto"/>
      </w:pPr>
      <w:r>
        <w:t>L’utilisateur, le fournisseur du modèle, l’employeur, l’éditeur et le responsable éditorial peuvent avoir des rôles contractuels ou organisationnels distincts. Aucun de ces rôles ne dispense d’identifier la personne humaine à l’origine des choix créatifs revendiqués.</w:t>
      </w:r>
    </w:p>
    <w:tbl>
      <w:tblPr>
        <w:tblStyle w:val="Grilledutableau"/>
        <w:tblW w:w="5000" w:type="pct"/>
        <w:tblLook w:val="04A0" w:firstRow="1" w:lastRow="0" w:firstColumn="1" w:lastColumn="0" w:noHBand="0" w:noVBand="1"/>
      </w:tblPr>
      <w:tblGrid>
        <w:gridCol w:w="10456"/>
      </w:tblGrid>
      <w:tr w:rsidR="00734B01" w:rsidRPr="004407A9" w14:paraId="5982F6B6" w14:textId="77777777" w:rsidTr="006D425B">
        <w:trPr>
          <w:tblHeader/>
        </w:trPr>
        <w:tc>
          <w:tcPr>
            <w:tcW w:w="5000" w:type="pct"/>
          </w:tcPr>
          <w:p w14:paraId="0E17CA29" w14:textId="77777777" w:rsidR="00734B01" w:rsidRPr="004407A9" w:rsidRDefault="00734B01" w:rsidP="004407A9">
            <w:pPr>
              <w:jc w:val="left"/>
              <w:rPr>
                <w:rFonts w:ascii="Calibri" w:hAnsi="Calibri" w:cs="Calibri"/>
                <w:sz w:val="20"/>
              </w:rPr>
            </w:pPr>
            <w:r w:rsidRPr="004407A9">
              <w:rPr>
                <w:rFonts w:ascii="Calibri" w:hAnsi="Calibri" w:cs="Calibri"/>
                <w:b/>
                <w:color w:val="17365D"/>
                <w:sz w:val="20"/>
              </w:rPr>
              <w:t>Point de prudence</w:t>
            </w:r>
          </w:p>
          <w:p w14:paraId="53FE2FF7" w14:textId="19EDF447" w:rsidR="00734B01" w:rsidRPr="004407A9" w:rsidRDefault="00734B01" w:rsidP="006D425B">
            <w:pPr>
              <w:rPr>
                <w:rFonts w:ascii="Calibri" w:hAnsi="Calibri" w:cs="Calibri"/>
                <w:sz w:val="20"/>
              </w:rPr>
            </w:pPr>
            <w:r w:rsidRPr="004407A9">
              <w:rPr>
                <w:rFonts w:ascii="Calibri" w:hAnsi="Calibri" w:cs="Calibri"/>
                <w:sz w:val="20"/>
              </w:rPr>
              <w:t>Au 6 août 2026, aucune décision française ou de la Cour de justice de l’Union européenne identifiée ne tranche directement l’</w:t>
            </w:r>
            <w:r w:rsidR="006D425B">
              <w:rPr>
                <w:rFonts w:ascii="Calibri" w:hAnsi="Calibri" w:cs="Calibri"/>
                <w:sz w:val="20"/>
              </w:rPr>
              <w:t xml:space="preserve"> «autorat»</w:t>
            </w:r>
            <w:r w:rsidRPr="004407A9">
              <w:rPr>
                <w:rFonts w:ascii="Calibri" w:hAnsi="Calibri" w:cs="Calibri"/>
                <w:sz w:val="20"/>
              </w:rPr>
              <w:t xml:space="preserve"> d’un texte généré par une IA générative sur la base de prompts. La qualification doit donc être conduite à partir des critères généraux d’originalité, d’expression et de preuve, sans présenter comme acquise une solution encore non jugée directement.</w:t>
            </w:r>
          </w:p>
        </w:tc>
      </w:tr>
    </w:tbl>
    <w:p w14:paraId="103F981C" w14:textId="77777777" w:rsidR="00734B01" w:rsidRPr="000E1C6E" w:rsidRDefault="00734B01" w:rsidP="004407A9">
      <w:pPr>
        <w:spacing w:after="0" w:line="240" w:lineRule="auto"/>
      </w:pPr>
    </w:p>
    <w:p w14:paraId="72BB248A" w14:textId="77777777" w:rsidR="00734B01" w:rsidRPr="000E1C6E" w:rsidRDefault="00734B01" w:rsidP="009111AC">
      <w:pPr>
        <w:pStyle w:val="Titre2"/>
      </w:pPr>
      <w:r>
        <w:t>2.4. Personne physique, personne morale et œuvre collective</w:t>
      </w:r>
    </w:p>
    <w:p w14:paraId="1075AF15" w14:textId="77777777" w:rsidR="00734B01" w:rsidRPr="000E1C6E" w:rsidRDefault="00734B01" w:rsidP="004407A9">
      <w:pPr>
        <w:spacing w:after="0" w:line="240" w:lineRule="auto"/>
      </w:pPr>
      <w:r>
        <w:t>La création est normalement imputée à une ou plusieurs personnes physiques. Une personne morale ne doit pas être confondue avec le créateur humain. Elle peut néanmoins être investie des droits sur une œuvre collective divulguée sous son nom, recevoir des droits par cession, ou bénéficier, à l’égard d’un contrefacteur, d’une présomption de titularité patrimoniale lorsqu’elle exploite l’œuvre de manière paisible et non équivoque et qu’aucun auteur ne revendique les droits.</w:t>
      </w:r>
    </w:p>
    <w:p w14:paraId="0DCA704E" w14:textId="2BF240DC"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CPI, art. L. 113-2 à L. 113-5 et L. 131-3</w:t>
      </w:r>
      <w:r w:rsidR="004407A9">
        <w:rPr>
          <w:lang w:val="fr-FR"/>
        </w:rPr>
        <w:t> ;</w:t>
      </w:r>
      <w:r>
        <w:rPr>
          <w:lang w:val="fr-FR"/>
        </w:rPr>
        <w:t xml:space="preserve"> Cass. 1re civ., 10 avr. 2013, n° 12-12.886.</w:t>
      </w:r>
    </w:p>
    <w:p w14:paraId="2A43123D" w14:textId="77777777" w:rsidR="00734B01" w:rsidRPr="000E1C6E" w:rsidRDefault="00734B01" w:rsidP="00E52BD2">
      <w:pPr>
        <w:pStyle w:val="Titre1"/>
      </w:pPr>
      <w:bookmarkStart w:id="2" w:name="degres"/>
      <w:bookmarkEnd w:id="2"/>
      <w:r>
        <w:lastRenderedPageBreak/>
        <w:t>3. Qualification selon le degré d’utilisation de l’IA</w:t>
      </w:r>
    </w:p>
    <w:tbl>
      <w:tblPr>
        <w:tblStyle w:val="TableauGrille4-Accentuation2"/>
        <w:tblW w:w="0" w:type="auto"/>
        <w:tblLook w:val="04A0" w:firstRow="1" w:lastRow="0" w:firstColumn="1" w:lastColumn="0" w:noHBand="0" w:noVBand="1"/>
      </w:tblPr>
      <w:tblGrid>
        <w:gridCol w:w="2493"/>
        <w:gridCol w:w="2551"/>
        <w:gridCol w:w="2551"/>
        <w:gridCol w:w="2551"/>
      </w:tblGrid>
      <w:tr w:rsidR="00734B01" w:rsidRPr="004407A9" w14:paraId="16FE8F89" w14:textId="77777777" w:rsidTr="009111A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93" w:type="dxa"/>
          </w:tcPr>
          <w:p w14:paraId="6A1F86F3"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Situation réelle</w:t>
            </w:r>
          </w:p>
        </w:tc>
        <w:tc>
          <w:tcPr>
            <w:tcW w:w="2493" w:type="dxa"/>
          </w:tcPr>
          <w:p w14:paraId="5688FB7B"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Qualification probable</w:t>
            </w:r>
          </w:p>
        </w:tc>
        <w:tc>
          <w:tcPr>
            <w:tcW w:w="2493" w:type="dxa"/>
          </w:tcPr>
          <w:p w14:paraId="60248A67" w14:textId="0B5A7240"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Peut-on se présenter comme auteur</w:t>
            </w:r>
            <w:r w:rsidR="004407A9" w:rsidRPr="004407A9">
              <w:rPr>
                <w:rFonts w:ascii="Calibri" w:hAnsi="Calibri" w:cs="Calibri"/>
                <w:b w:val="0"/>
                <w:color w:val="FFFFFF"/>
                <w:sz w:val="20"/>
              </w:rPr>
              <w:t> ?</w:t>
            </w:r>
          </w:p>
        </w:tc>
        <w:tc>
          <w:tcPr>
            <w:tcW w:w="2493" w:type="dxa"/>
          </w:tcPr>
          <w:p w14:paraId="74DE80C2"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Formulation recommandée</w:t>
            </w:r>
          </w:p>
        </w:tc>
      </w:tr>
      <w:tr w:rsidR="00734B01" w:rsidRPr="004407A9" w14:paraId="20DF6564"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3ED53464" w14:textId="3620AA53" w:rsidR="00734B01" w:rsidRPr="004407A9" w:rsidRDefault="00734B01" w:rsidP="004407A9">
            <w:pPr>
              <w:jc w:val="left"/>
              <w:rPr>
                <w:rFonts w:ascii="Calibri" w:hAnsi="Calibri" w:cs="Calibri"/>
                <w:sz w:val="20"/>
              </w:rPr>
            </w:pPr>
            <w:r w:rsidRPr="004407A9">
              <w:rPr>
                <w:rFonts w:ascii="Calibri" w:hAnsi="Calibri" w:cs="Calibri"/>
                <w:sz w:val="20"/>
              </w:rPr>
              <w:t>Texte initialement rédigé par l’humain</w:t>
            </w:r>
            <w:r w:rsidR="004407A9" w:rsidRPr="004407A9">
              <w:rPr>
                <w:rFonts w:ascii="Calibri" w:hAnsi="Calibri" w:cs="Calibri"/>
                <w:sz w:val="20"/>
              </w:rPr>
              <w:t> ;</w:t>
            </w:r>
            <w:r w:rsidRPr="004407A9">
              <w:rPr>
                <w:rFonts w:ascii="Calibri" w:hAnsi="Calibri" w:cs="Calibri"/>
                <w:sz w:val="20"/>
              </w:rPr>
              <w:t xml:space="preserve"> IA limitée à l’orthographe, la grammaire ou la typographie.</w:t>
            </w:r>
          </w:p>
        </w:tc>
        <w:tc>
          <w:tcPr>
            <w:tcW w:w="2551" w:type="dxa"/>
          </w:tcPr>
          <w:p w14:paraId="1447ADF5"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IA-outil de correction. L’expression humaine préexiste et demeure identifiable.</w:t>
            </w:r>
          </w:p>
        </w:tc>
        <w:tc>
          <w:tcPr>
            <w:tcW w:w="2551" w:type="dxa"/>
          </w:tcPr>
          <w:p w14:paraId="1CE94A60"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Oui, en principe, sous réserve que la correction n’ait pas transformé substantiellement le texte.</w:t>
            </w:r>
          </w:p>
        </w:tc>
        <w:tc>
          <w:tcPr>
            <w:tcW w:w="2551" w:type="dxa"/>
          </w:tcPr>
          <w:p w14:paraId="3CD70B75" w14:textId="3078C6FE" w:rsidR="00734B01" w:rsidRPr="004407A9" w:rsidRDefault="004407A9"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 </w:t>
            </w:r>
            <w:r w:rsidR="00734B01" w:rsidRPr="004407A9">
              <w:rPr>
                <w:rFonts w:ascii="Calibri" w:hAnsi="Calibri" w:cs="Calibri"/>
                <w:sz w:val="20"/>
              </w:rPr>
              <w:t>Texte rédigé par [nom]</w:t>
            </w:r>
            <w:r w:rsidRPr="004407A9">
              <w:rPr>
                <w:rFonts w:ascii="Calibri" w:hAnsi="Calibri" w:cs="Calibri"/>
                <w:sz w:val="20"/>
              </w:rPr>
              <w:t> ;</w:t>
            </w:r>
            <w:r w:rsidR="00734B01" w:rsidRPr="004407A9">
              <w:rPr>
                <w:rFonts w:ascii="Calibri" w:hAnsi="Calibri" w:cs="Calibri"/>
                <w:sz w:val="20"/>
              </w:rPr>
              <w:t xml:space="preserve"> assistance automatisée limitée à la correction formelle.</w:t>
            </w:r>
            <w:r w:rsidRPr="004407A9">
              <w:rPr>
                <w:rFonts w:ascii="Calibri" w:hAnsi="Calibri" w:cs="Calibri"/>
                <w:sz w:val="20"/>
              </w:rPr>
              <w:t> »</w:t>
            </w:r>
          </w:p>
        </w:tc>
      </w:tr>
      <w:tr w:rsidR="00734B01" w:rsidRPr="004407A9" w14:paraId="1F07D06C" w14:textId="77777777" w:rsidTr="009111AC">
        <w:tc>
          <w:tcPr>
            <w:cnfStyle w:val="001000000000" w:firstRow="0" w:lastRow="0" w:firstColumn="1" w:lastColumn="0" w:oddVBand="0" w:evenVBand="0" w:oddHBand="0" w:evenHBand="0" w:firstRowFirstColumn="0" w:firstRowLastColumn="0" w:lastRowFirstColumn="0" w:lastRowLastColumn="0"/>
            <w:tcW w:w="2381" w:type="dxa"/>
          </w:tcPr>
          <w:p w14:paraId="354177A8" w14:textId="28ED7955" w:rsidR="00734B01" w:rsidRPr="004407A9" w:rsidRDefault="00734B01" w:rsidP="004407A9">
            <w:pPr>
              <w:jc w:val="left"/>
              <w:rPr>
                <w:rFonts w:ascii="Calibri" w:hAnsi="Calibri" w:cs="Calibri"/>
                <w:sz w:val="20"/>
              </w:rPr>
            </w:pPr>
            <w:r w:rsidRPr="004407A9">
              <w:rPr>
                <w:rFonts w:ascii="Calibri" w:hAnsi="Calibri" w:cs="Calibri"/>
                <w:sz w:val="20"/>
              </w:rPr>
              <w:t>L’humain définit la problématique, le plan, les sources et rédige</w:t>
            </w:r>
            <w:r w:rsidR="004407A9" w:rsidRPr="004407A9">
              <w:rPr>
                <w:rFonts w:ascii="Calibri" w:hAnsi="Calibri" w:cs="Calibri"/>
                <w:sz w:val="20"/>
              </w:rPr>
              <w:t> ;</w:t>
            </w:r>
            <w:r w:rsidRPr="004407A9">
              <w:rPr>
                <w:rFonts w:ascii="Calibri" w:hAnsi="Calibri" w:cs="Calibri"/>
                <w:sz w:val="20"/>
              </w:rPr>
              <w:t xml:space="preserve"> l’IA propose ponctuellement des reformulations ensuite choisies et retravaillées.</w:t>
            </w:r>
          </w:p>
        </w:tc>
        <w:tc>
          <w:tcPr>
            <w:tcW w:w="2551" w:type="dxa"/>
          </w:tcPr>
          <w:p w14:paraId="2B984911"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Œuvre assistée. La protection peut porter sur l’ensemble final si celui-ci reflète les choix humains, et à tout le moins sur les contributions humaines identifiables.</w:t>
            </w:r>
          </w:p>
        </w:tc>
        <w:tc>
          <w:tcPr>
            <w:tcW w:w="2551" w:type="dxa"/>
          </w:tcPr>
          <w:p w14:paraId="0C37CD46"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Oui, si les arbitrages et la rédaction finale sont réellement humains et démontrables.</w:t>
            </w:r>
          </w:p>
        </w:tc>
        <w:tc>
          <w:tcPr>
            <w:tcW w:w="2551" w:type="dxa"/>
          </w:tcPr>
          <w:p w14:paraId="53CA9D77" w14:textId="7F1B28F5" w:rsidR="00734B01" w:rsidRPr="004407A9" w:rsidRDefault="004407A9"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 </w:t>
            </w:r>
            <w:r w:rsidR="00734B01" w:rsidRPr="004407A9">
              <w:rPr>
                <w:rFonts w:ascii="Calibri" w:hAnsi="Calibri" w:cs="Calibri"/>
                <w:sz w:val="20"/>
              </w:rPr>
              <w:t>Texte conçu et rédigé par [nom], avec assistance IA pour [fonction précise].</w:t>
            </w:r>
            <w:r w:rsidRPr="004407A9">
              <w:rPr>
                <w:rFonts w:ascii="Calibri" w:hAnsi="Calibri" w:cs="Calibri"/>
                <w:sz w:val="20"/>
              </w:rPr>
              <w:t> »</w:t>
            </w:r>
          </w:p>
        </w:tc>
      </w:tr>
      <w:tr w:rsidR="00734B01" w:rsidRPr="004407A9" w14:paraId="5ABD8643"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09D3922F" w14:textId="78FD007B" w:rsidR="00734B01" w:rsidRPr="004407A9" w:rsidRDefault="00734B01" w:rsidP="004407A9">
            <w:pPr>
              <w:jc w:val="left"/>
              <w:rPr>
                <w:rFonts w:ascii="Calibri" w:hAnsi="Calibri" w:cs="Calibri"/>
                <w:sz w:val="20"/>
              </w:rPr>
            </w:pPr>
            <w:r w:rsidRPr="004407A9">
              <w:rPr>
                <w:rFonts w:ascii="Calibri" w:hAnsi="Calibri" w:cs="Calibri"/>
                <w:sz w:val="20"/>
              </w:rPr>
              <w:t>L’IA fournit un premier jet</w:t>
            </w:r>
            <w:r w:rsidR="004407A9" w:rsidRPr="004407A9">
              <w:rPr>
                <w:rFonts w:ascii="Calibri" w:hAnsi="Calibri" w:cs="Calibri"/>
                <w:sz w:val="20"/>
              </w:rPr>
              <w:t> ;</w:t>
            </w:r>
            <w:r w:rsidRPr="004407A9">
              <w:rPr>
                <w:rFonts w:ascii="Calibri" w:hAnsi="Calibri" w:cs="Calibri"/>
                <w:sz w:val="20"/>
              </w:rPr>
              <w:t xml:space="preserve"> l’humain vérifie les sources, restructure, modifie l’argumentation, supprime, complète et réécrit substantiellement.</w:t>
            </w:r>
          </w:p>
        </w:tc>
        <w:tc>
          <w:tcPr>
            <w:tcW w:w="2551" w:type="dxa"/>
          </w:tcPr>
          <w:p w14:paraId="149BCB7A"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Œuvre hybride. La protection porte sur la transformation, la sélection, l’arrangement et les formulations humaines originales.</w:t>
            </w:r>
          </w:p>
        </w:tc>
        <w:tc>
          <w:tcPr>
            <w:tcW w:w="2551" w:type="dxa"/>
          </w:tcPr>
          <w:p w14:paraId="37D9B5DA"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Oui, mais il est prudent de qualifier l’assistance et de ne pas revendiquer comme création personnelle les passages laissés inchangés.</w:t>
            </w:r>
          </w:p>
        </w:tc>
        <w:tc>
          <w:tcPr>
            <w:tcW w:w="2551" w:type="dxa"/>
          </w:tcPr>
          <w:p w14:paraId="36223E51" w14:textId="0D0D82C8" w:rsidR="00734B01" w:rsidRPr="004407A9" w:rsidRDefault="004407A9"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 </w:t>
            </w:r>
            <w:r w:rsidR="00734B01" w:rsidRPr="004407A9">
              <w:rPr>
                <w:rFonts w:ascii="Calibri" w:hAnsi="Calibri" w:cs="Calibri"/>
                <w:sz w:val="20"/>
              </w:rPr>
              <w:t>Conception, vérification et réécriture substantielles</w:t>
            </w:r>
            <w:r w:rsidRPr="004407A9">
              <w:rPr>
                <w:rFonts w:ascii="Calibri" w:hAnsi="Calibri" w:cs="Calibri"/>
                <w:sz w:val="20"/>
              </w:rPr>
              <w:t> :</w:t>
            </w:r>
            <w:r w:rsidR="00734B01" w:rsidRPr="004407A9">
              <w:rPr>
                <w:rFonts w:ascii="Calibri" w:hAnsi="Calibri" w:cs="Calibri"/>
                <w:sz w:val="20"/>
              </w:rPr>
              <w:t xml:space="preserve"> [nom]</w:t>
            </w:r>
            <w:r w:rsidRPr="004407A9">
              <w:rPr>
                <w:rFonts w:ascii="Calibri" w:hAnsi="Calibri" w:cs="Calibri"/>
                <w:sz w:val="20"/>
              </w:rPr>
              <w:t> ;</w:t>
            </w:r>
            <w:r w:rsidR="00734B01" w:rsidRPr="004407A9">
              <w:rPr>
                <w:rFonts w:ascii="Calibri" w:hAnsi="Calibri" w:cs="Calibri"/>
                <w:sz w:val="20"/>
              </w:rPr>
              <w:t xml:space="preserve"> premier jet assisté par IA.</w:t>
            </w:r>
            <w:r w:rsidRPr="004407A9">
              <w:rPr>
                <w:rFonts w:ascii="Calibri" w:hAnsi="Calibri" w:cs="Calibri"/>
                <w:sz w:val="20"/>
              </w:rPr>
              <w:t> »</w:t>
            </w:r>
          </w:p>
        </w:tc>
      </w:tr>
      <w:tr w:rsidR="00734B01" w:rsidRPr="004407A9" w14:paraId="5766DF37" w14:textId="77777777" w:rsidTr="009111AC">
        <w:tc>
          <w:tcPr>
            <w:cnfStyle w:val="001000000000" w:firstRow="0" w:lastRow="0" w:firstColumn="1" w:lastColumn="0" w:oddVBand="0" w:evenVBand="0" w:oddHBand="0" w:evenHBand="0" w:firstRowFirstColumn="0" w:firstRowLastColumn="0" w:lastRowFirstColumn="0" w:lastRowLastColumn="0"/>
            <w:tcW w:w="2381" w:type="dxa"/>
          </w:tcPr>
          <w:p w14:paraId="33D49434" w14:textId="4B184D32" w:rsidR="00734B01" w:rsidRPr="004407A9" w:rsidRDefault="00734B01" w:rsidP="004407A9">
            <w:pPr>
              <w:jc w:val="left"/>
              <w:rPr>
                <w:rFonts w:ascii="Calibri" w:hAnsi="Calibri" w:cs="Calibri"/>
                <w:sz w:val="20"/>
              </w:rPr>
            </w:pPr>
            <w:r w:rsidRPr="004407A9">
              <w:rPr>
                <w:rFonts w:ascii="Calibri" w:hAnsi="Calibri" w:cs="Calibri"/>
                <w:sz w:val="20"/>
              </w:rPr>
              <w:t>L’IA produit l’essentiel</w:t>
            </w:r>
            <w:r w:rsidR="004407A9" w:rsidRPr="004407A9">
              <w:rPr>
                <w:rFonts w:ascii="Calibri" w:hAnsi="Calibri" w:cs="Calibri"/>
                <w:sz w:val="20"/>
              </w:rPr>
              <w:t> ;</w:t>
            </w:r>
            <w:r w:rsidRPr="004407A9">
              <w:rPr>
                <w:rFonts w:ascii="Calibri" w:hAnsi="Calibri" w:cs="Calibri"/>
                <w:sz w:val="20"/>
              </w:rPr>
              <w:t xml:space="preserve"> l’humain choisit une sortie et corrige seulement des fautes ou quelques tournures.</w:t>
            </w:r>
          </w:p>
        </w:tc>
        <w:tc>
          <w:tcPr>
            <w:tcW w:w="2551" w:type="dxa"/>
          </w:tcPr>
          <w:p w14:paraId="7D465CE3" w14:textId="51E6F418"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Production principalement générée</w:t>
            </w:r>
            <w:r w:rsidR="004407A9" w:rsidRPr="004407A9">
              <w:rPr>
                <w:rFonts w:ascii="Calibri" w:hAnsi="Calibri" w:cs="Calibri"/>
                <w:sz w:val="20"/>
              </w:rPr>
              <w:t> ;</w:t>
            </w:r>
            <w:r w:rsidRPr="004407A9">
              <w:rPr>
                <w:rFonts w:ascii="Calibri" w:hAnsi="Calibri" w:cs="Calibri"/>
                <w:sz w:val="20"/>
              </w:rPr>
              <w:t xml:space="preserve"> contribution humaine probablement insuffisante pour revendiquer la totalité comme œuvre personnelle.</w:t>
            </w:r>
          </w:p>
        </w:tc>
        <w:tc>
          <w:tcPr>
            <w:tcW w:w="2551" w:type="dxa"/>
          </w:tcPr>
          <w:p w14:paraId="0F66740B"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La revendication de sole authorship est juridiquement fragile et peut être contraire aux règles contractuelles ou académiques.</w:t>
            </w:r>
          </w:p>
        </w:tc>
        <w:tc>
          <w:tcPr>
            <w:tcW w:w="2551" w:type="dxa"/>
          </w:tcPr>
          <w:p w14:paraId="687E7BF9" w14:textId="04C6A281" w:rsidR="00734B01" w:rsidRPr="004407A9" w:rsidRDefault="004407A9"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 </w:t>
            </w:r>
            <w:r w:rsidR="00734B01" w:rsidRPr="004407A9">
              <w:rPr>
                <w:rFonts w:ascii="Calibri" w:hAnsi="Calibri" w:cs="Calibri"/>
                <w:sz w:val="20"/>
              </w:rPr>
              <w:t>Contenu généré par IA, relu et validé par [nom]</w:t>
            </w:r>
            <w:r w:rsidRPr="004407A9">
              <w:rPr>
                <w:rFonts w:ascii="Calibri" w:hAnsi="Calibri" w:cs="Calibri"/>
                <w:sz w:val="20"/>
              </w:rPr>
              <w:t> »</w:t>
            </w:r>
            <w:r w:rsidR="00734B01" w:rsidRPr="004407A9">
              <w:rPr>
                <w:rFonts w:ascii="Calibri" w:hAnsi="Calibri" w:cs="Calibri"/>
                <w:sz w:val="20"/>
              </w:rPr>
              <w:t xml:space="preserve"> - sauf si une réécriture réelle intervient.</w:t>
            </w:r>
          </w:p>
        </w:tc>
      </w:tr>
      <w:tr w:rsidR="00734B01" w:rsidRPr="004407A9" w14:paraId="245D95FA"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1" w:type="dxa"/>
          </w:tcPr>
          <w:p w14:paraId="208E2011" w14:textId="77777777" w:rsidR="00734B01" w:rsidRPr="004407A9" w:rsidRDefault="00734B01" w:rsidP="004407A9">
            <w:pPr>
              <w:jc w:val="left"/>
              <w:rPr>
                <w:rFonts w:ascii="Calibri" w:hAnsi="Calibri" w:cs="Calibri"/>
                <w:sz w:val="20"/>
              </w:rPr>
            </w:pPr>
            <w:r w:rsidRPr="004407A9">
              <w:rPr>
                <w:rFonts w:ascii="Calibri" w:hAnsi="Calibri" w:cs="Calibri"/>
                <w:sz w:val="20"/>
              </w:rPr>
              <w:t>L’humain sélectionne et ordonne de nombreux contenus générés sans modifier chaque élément.</w:t>
            </w:r>
          </w:p>
        </w:tc>
        <w:tc>
          <w:tcPr>
            <w:tcW w:w="2551" w:type="dxa"/>
          </w:tcPr>
          <w:p w14:paraId="0770F2E9" w14:textId="3D08830E"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 sélection ou l’arrangement peut être protégé s’il est original</w:t>
            </w:r>
            <w:r w:rsidR="004407A9" w:rsidRPr="004407A9">
              <w:rPr>
                <w:rFonts w:ascii="Calibri" w:hAnsi="Calibri" w:cs="Calibri"/>
                <w:sz w:val="20"/>
              </w:rPr>
              <w:t> ;</w:t>
            </w:r>
            <w:r w:rsidRPr="004407A9">
              <w:rPr>
                <w:rFonts w:ascii="Calibri" w:hAnsi="Calibri" w:cs="Calibri"/>
                <w:sz w:val="20"/>
              </w:rPr>
              <w:t xml:space="preserve"> les éléments générés pris isolément ne le deviennent pas automatiquement.</w:t>
            </w:r>
          </w:p>
        </w:tc>
        <w:tc>
          <w:tcPr>
            <w:tcW w:w="2551" w:type="dxa"/>
          </w:tcPr>
          <w:p w14:paraId="13239A1B"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Auteur possible de la composition ou de l’architecture, pas nécessairement de chaque fragment.</w:t>
            </w:r>
          </w:p>
        </w:tc>
        <w:tc>
          <w:tcPr>
            <w:tcW w:w="2551" w:type="dxa"/>
          </w:tcPr>
          <w:p w14:paraId="57DBBFE5" w14:textId="78B2E9D6" w:rsidR="00734B01" w:rsidRPr="004407A9" w:rsidRDefault="004407A9"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 </w:t>
            </w:r>
            <w:r w:rsidR="00734B01" w:rsidRPr="004407A9">
              <w:rPr>
                <w:rFonts w:ascii="Calibri" w:hAnsi="Calibri" w:cs="Calibri"/>
                <w:sz w:val="20"/>
              </w:rPr>
              <w:t>Sélection et organisation éditoriale</w:t>
            </w:r>
            <w:r w:rsidRPr="004407A9">
              <w:rPr>
                <w:rFonts w:ascii="Calibri" w:hAnsi="Calibri" w:cs="Calibri"/>
                <w:sz w:val="20"/>
              </w:rPr>
              <w:t> :</w:t>
            </w:r>
            <w:r w:rsidR="00734B01" w:rsidRPr="004407A9">
              <w:rPr>
                <w:rFonts w:ascii="Calibri" w:hAnsi="Calibri" w:cs="Calibri"/>
                <w:sz w:val="20"/>
              </w:rPr>
              <w:t xml:space="preserve"> [nom]</w:t>
            </w:r>
            <w:r w:rsidRPr="004407A9">
              <w:rPr>
                <w:rFonts w:ascii="Calibri" w:hAnsi="Calibri" w:cs="Calibri"/>
                <w:sz w:val="20"/>
              </w:rPr>
              <w:t> ;</w:t>
            </w:r>
            <w:r w:rsidR="00734B01" w:rsidRPr="004407A9">
              <w:rPr>
                <w:rFonts w:ascii="Calibri" w:hAnsi="Calibri" w:cs="Calibri"/>
                <w:sz w:val="20"/>
              </w:rPr>
              <w:t xml:space="preserve"> éléments générés avec [outil].</w:t>
            </w:r>
            <w:r w:rsidRPr="004407A9">
              <w:rPr>
                <w:rFonts w:ascii="Calibri" w:hAnsi="Calibri" w:cs="Calibri"/>
                <w:sz w:val="20"/>
              </w:rPr>
              <w:t> »</w:t>
            </w:r>
          </w:p>
        </w:tc>
      </w:tr>
      <w:tr w:rsidR="00734B01" w:rsidRPr="004407A9" w14:paraId="480E0692" w14:textId="77777777" w:rsidTr="009111AC">
        <w:tc>
          <w:tcPr>
            <w:cnfStyle w:val="001000000000" w:firstRow="0" w:lastRow="0" w:firstColumn="1" w:lastColumn="0" w:oddVBand="0" w:evenVBand="0" w:oddHBand="0" w:evenHBand="0" w:firstRowFirstColumn="0" w:firstRowLastColumn="0" w:lastRowFirstColumn="0" w:lastRowLastColumn="0"/>
            <w:tcW w:w="2381" w:type="dxa"/>
          </w:tcPr>
          <w:p w14:paraId="354F4CDF" w14:textId="77777777" w:rsidR="00734B01" w:rsidRPr="004407A9" w:rsidRDefault="00734B01" w:rsidP="004407A9">
            <w:pPr>
              <w:jc w:val="left"/>
              <w:rPr>
                <w:rFonts w:ascii="Calibri" w:hAnsi="Calibri" w:cs="Calibri"/>
                <w:sz w:val="20"/>
              </w:rPr>
            </w:pPr>
            <w:r w:rsidRPr="004407A9">
              <w:rPr>
                <w:rFonts w:ascii="Calibri" w:hAnsi="Calibri" w:cs="Calibri"/>
                <w:sz w:val="20"/>
              </w:rPr>
              <w:t>L’humain fournit un prompt complexe et publie la sortie presque telle quelle.</w:t>
            </w:r>
          </w:p>
        </w:tc>
        <w:tc>
          <w:tcPr>
            <w:tcW w:w="2551" w:type="dxa"/>
          </w:tcPr>
          <w:p w14:paraId="3E44D191" w14:textId="34EFE152"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Le prompt peut éventuellement être protégé en lui-même s’il est original</w:t>
            </w:r>
            <w:r w:rsidR="004407A9" w:rsidRPr="004407A9">
              <w:rPr>
                <w:rFonts w:ascii="Calibri" w:hAnsi="Calibri" w:cs="Calibri"/>
                <w:sz w:val="20"/>
              </w:rPr>
              <w:t> ;</w:t>
            </w:r>
            <w:r w:rsidRPr="004407A9">
              <w:rPr>
                <w:rFonts w:ascii="Calibri" w:hAnsi="Calibri" w:cs="Calibri"/>
                <w:sz w:val="20"/>
              </w:rPr>
              <w:t xml:space="preserve"> aucun automatisme ne transfère cette protection à la sortie.</w:t>
            </w:r>
          </w:p>
        </w:tc>
        <w:tc>
          <w:tcPr>
            <w:tcW w:w="2551" w:type="dxa"/>
          </w:tcPr>
          <w:p w14:paraId="7128773F"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Ne pas affirmer, sans autre apport, que le prompt rend son rédacteur auteur de toute la sortie.</w:t>
            </w:r>
          </w:p>
        </w:tc>
        <w:tc>
          <w:tcPr>
            <w:tcW w:w="2551" w:type="dxa"/>
          </w:tcPr>
          <w:p w14:paraId="3873A858"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Mentionner l’usage de l’IA et décrire précisément la contribution humaine.</w:t>
            </w:r>
          </w:p>
        </w:tc>
      </w:tr>
    </w:tbl>
    <w:p w14:paraId="5D1ED745" w14:textId="77777777" w:rsidR="00734B01" w:rsidRPr="000E1C6E" w:rsidRDefault="00734B01" w:rsidP="004407A9">
      <w:pPr>
        <w:spacing w:after="0" w:line="240" w:lineRule="auto"/>
      </w:pPr>
    </w:p>
    <w:p w14:paraId="03354FCE" w14:textId="77777777" w:rsidR="00734B01" w:rsidRPr="000E1C6E" w:rsidRDefault="00734B01" w:rsidP="009111AC">
      <w:pPr>
        <w:pStyle w:val="Titre2"/>
      </w:pPr>
      <w:r>
        <w:t>3.1. Le test des choix humains effectivement incorporés</w:t>
      </w:r>
    </w:p>
    <w:p w14:paraId="2F434E3B" w14:textId="6DE32681" w:rsidR="00734B01" w:rsidRPr="000E1C6E" w:rsidRDefault="00734B01" w:rsidP="004407A9">
      <w:pPr>
        <w:spacing w:after="0" w:line="240" w:lineRule="auto"/>
      </w:pPr>
      <w:r>
        <w:t>Pour chaque passage ou pour l’architecture de l’ensemble, poser les questions suivantes</w:t>
      </w:r>
      <w:r w:rsidR="004407A9">
        <w:t> :</w:t>
      </w:r>
    </w:p>
    <w:p w14:paraId="441CF059" w14:textId="02705275" w:rsidR="00734B01" w:rsidRPr="000E1C6E" w:rsidRDefault="00734B01" w:rsidP="004407A9">
      <w:pPr>
        <w:pStyle w:val="Listepuces"/>
        <w:tabs>
          <w:tab w:val="num" w:pos="360"/>
        </w:tabs>
        <w:spacing w:after="0" w:line="240" w:lineRule="auto"/>
        <w:ind w:left="360" w:hanging="360"/>
        <w:jc w:val="both"/>
        <w:rPr>
          <w:lang w:val="fr-FR"/>
        </w:rPr>
      </w:pPr>
      <w:r>
        <w:rPr>
          <w:lang w:val="fr-FR"/>
        </w:rPr>
        <w:t>La personne a-t-elle choisi librement le message, l’angle et la thèse, au-delà d’une simple consigne de résultat</w:t>
      </w:r>
      <w:r w:rsidR="004407A9">
        <w:rPr>
          <w:lang w:val="fr-FR"/>
        </w:rPr>
        <w:t> ?</w:t>
      </w:r>
    </w:p>
    <w:p w14:paraId="253D58AE" w14:textId="773159C7" w:rsidR="00734B01" w:rsidRPr="000E1C6E" w:rsidRDefault="00734B01" w:rsidP="004407A9">
      <w:pPr>
        <w:pStyle w:val="Listepuces"/>
        <w:tabs>
          <w:tab w:val="num" w:pos="360"/>
        </w:tabs>
        <w:spacing w:after="0" w:line="240" w:lineRule="auto"/>
        <w:ind w:left="360" w:hanging="360"/>
        <w:jc w:val="both"/>
        <w:rPr>
          <w:lang w:val="fr-FR"/>
        </w:rPr>
      </w:pPr>
      <w:r>
        <w:rPr>
          <w:lang w:val="fr-FR"/>
        </w:rPr>
        <w:t>A-t-elle construit ou profondément transformé le plan et les enchaînements</w:t>
      </w:r>
      <w:r w:rsidR="004407A9">
        <w:rPr>
          <w:lang w:val="fr-FR"/>
        </w:rPr>
        <w:t> ?</w:t>
      </w:r>
    </w:p>
    <w:p w14:paraId="3D7FD697" w14:textId="3DA7A368" w:rsidR="00734B01" w:rsidRPr="000E1C6E" w:rsidRDefault="00734B01" w:rsidP="004407A9">
      <w:pPr>
        <w:pStyle w:val="Listepuces"/>
        <w:tabs>
          <w:tab w:val="num" w:pos="360"/>
        </w:tabs>
        <w:spacing w:after="0" w:line="240" w:lineRule="auto"/>
        <w:ind w:left="360" w:hanging="360"/>
        <w:jc w:val="both"/>
        <w:rPr>
          <w:lang w:val="fr-FR"/>
        </w:rPr>
      </w:pPr>
      <w:r>
        <w:rPr>
          <w:lang w:val="fr-FR"/>
        </w:rPr>
        <w:t>A-t-elle sélectionné, hiérarchisé et confronté les sources après vérification</w:t>
      </w:r>
      <w:r w:rsidR="004407A9">
        <w:rPr>
          <w:lang w:val="fr-FR"/>
        </w:rPr>
        <w:t> ?</w:t>
      </w:r>
    </w:p>
    <w:p w14:paraId="6C582E5A" w14:textId="7328B31E" w:rsidR="00734B01" w:rsidRPr="000E1C6E" w:rsidRDefault="00734B01" w:rsidP="004407A9">
      <w:pPr>
        <w:pStyle w:val="Listepuces"/>
        <w:tabs>
          <w:tab w:val="num" w:pos="360"/>
        </w:tabs>
        <w:spacing w:after="0" w:line="240" w:lineRule="auto"/>
        <w:ind w:left="360" w:hanging="360"/>
        <w:jc w:val="both"/>
        <w:rPr>
          <w:lang w:val="fr-FR"/>
        </w:rPr>
      </w:pPr>
      <w:r>
        <w:rPr>
          <w:lang w:val="fr-FR"/>
        </w:rPr>
        <w:t>A-t-elle déterminé les formulations, le ton, les exemples, les transitions et la conclusion</w:t>
      </w:r>
      <w:r w:rsidR="004407A9">
        <w:rPr>
          <w:lang w:val="fr-FR"/>
        </w:rPr>
        <w:t> ?</w:t>
      </w:r>
    </w:p>
    <w:p w14:paraId="0DF72830" w14:textId="0964F308" w:rsidR="00734B01" w:rsidRPr="000E1C6E" w:rsidRDefault="00734B01" w:rsidP="004407A9">
      <w:pPr>
        <w:pStyle w:val="Listepuces"/>
        <w:tabs>
          <w:tab w:val="num" w:pos="360"/>
        </w:tabs>
        <w:spacing w:after="0" w:line="240" w:lineRule="auto"/>
        <w:ind w:left="360" w:hanging="360"/>
        <w:jc w:val="both"/>
        <w:rPr>
          <w:lang w:val="fr-FR"/>
        </w:rPr>
      </w:pPr>
      <w:r>
        <w:rPr>
          <w:lang w:val="fr-FR"/>
        </w:rPr>
        <w:t>Peut-elle montrer des versions où ses décisions modifient substantiellement la sortie</w:t>
      </w:r>
      <w:r w:rsidR="004407A9">
        <w:rPr>
          <w:lang w:val="fr-FR"/>
        </w:rPr>
        <w:t> ?</w:t>
      </w:r>
    </w:p>
    <w:p w14:paraId="5DCD65B8" w14:textId="34ADD1FF" w:rsidR="00734B01" w:rsidRPr="000E1C6E" w:rsidRDefault="00734B01" w:rsidP="004407A9">
      <w:pPr>
        <w:pStyle w:val="Listepuces"/>
        <w:tabs>
          <w:tab w:val="num" w:pos="360"/>
        </w:tabs>
        <w:spacing w:after="0" w:line="240" w:lineRule="auto"/>
        <w:ind w:left="360" w:hanging="360"/>
        <w:jc w:val="both"/>
        <w:rPr>
          <w:lang w:val="fr-FR"/>
        </w:rPr>
      </w:pPr>
      <w:r>
        <w:rPr>
          <w:lang w:val="fr-FR"/>
        </w:rPr>
        <w:t>Le texte final aurait-il sensiblement la même expression sans son intervention</w:t>
      </w:r>
      <w:r w:rsidR="004407A9">
        <w:rPr>
          <w:lang w:val="fr-FR"/>
        </w:rPr>
        <w:t> ?</w:t>
      </w:r>
    </w:p>
    <w:p w14:paraId="2BC42B19" w14:textId="01A792E2" w:rsidR="00734B01" w:rsidRPr="000E1C6E" w:rsidRDefault="00734B01" w:rsidP="004407A9">
      <w:pPr>
        <w:spacing w:after="0" w:line="240" w:lineRule="auto"/>
      </w:pPr>
      <w:r>
        <w:t>Plus les réponses positives sont nombreuses et documentées, plus la revendication d’</w:t>
      </w:r>
      <w:r w:rsidR="006D425B">
        <w:t xml:space="preserve"> «autorat»</w:t>
      </w:r>
      <w:r>
        <w:t xml:space="preserve"> est solide. Ce test n’est pas un barème légal</w:t>
      </w:r>
      <w:r w:rsidR="004407A9">
        <w:t> :</w:t>
      </w:r>
      <w:r>
        <w:t xml:space="preserve"> il transpose opérationnellement les critères jurisprudentiels de liberté créative et d’expression identifiable.</w:t>
      </w:r>
    </w:p>
    <w:p w14:paraId="1FB61D19" w14:textId="6226F5ED" w:rsidR="00734B01" w:rsidRPr="000E1C6E" w:rsidRDefault="00734B01" w:rsidP="00E52BD2">
      <w:pPr>
        <w:pStyle w:val="Titre1"/>
      </w:pPr>
      <w:bookmarkStart w:id="3" w:name="regles"/>
      <w:bookmarkEnd w:id="3"/>
      <w:r>
        <w:lastRenderedPageBreak/>
        <w:t>4. Règles précises</w:t>
      </w:r>
      <w:r w:rsidR="004407A9">
        <w:t> :</w:t>
      </w:r>
      <w:r>
        <w:t xml:space="preserve"> ce que l’on peut faire, ce que l’on ne doit pas faire</w:t>
      </w:r>
    </w:p>
    <w:p w14:paraId="288718B5" w14:textId="77777777" w:rsidR="00734B01" w:rsidRDefault="00734B01" w:rsidP="009111AC">
      <w:pPr>
        <w:pStyle w:val="Titre2"/>
      </w:pPr>
      <w:r>
        <w:t>4.1. Usages juridiquement admissibles sous conditions</w:t>
      </w:r>
    </w:p>
    <w:tbl>
      <w:tblPr>
        <w:tblStyle w:val="TableauGrille4-Accentuation2"/>
        <w:tblW w:w="0" w:type="auto"/>
        <w:tblLook w:val="04A0" w:firstRow="1" w:lastRow="0" w:firstColumn="1" w:lastColumn="0" w:noHBand="0" w:noVBand="1"/>
      </w:tblPr>
      <w:tblGrid>
        <w:gridCol w:w="3823"/>
        <w:gridCol w:w="6633"/>
      </w:tblGrid>
      <w:tr w:rsidR="00734B01" w:rsidRPr="004407A9" w14:paraId="232ABC45"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1CB9C50"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On peut</w:t>
            </w:r>
          </w:p>
        </w:tc>
        <w:tc>
          <w:tcPr>
            <w:tcW w:w="6633" w:type="dxa"/>
          </w:tcPr>
          <w:p w14:paraId="5B388A9E"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Conditions impératives</w:t>
            </w:r>
          </w:p>
        </w:tc>
      </w:tr>
      <w:tr w:rsidR="00734B01" w:rsidRPr="004407A9" w14:paraId="7938C54B"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98579FC" w14:textId="77777777" w:rsidR="00734B01" w:rsidRPr="004407A9" w:rsidRDefault="00734B01" w:rsidP="004407A9">
            <w:pPr>
              <w:jc w:val="left"/>
              <w:rPr>
                <w:rFonts w:ascii="Calibri" w:hAnsi="Calibri" w:cs="Calibri"/>
                <w:sz w:val="20"/>
              </w:rPr>
            </w:pPr>
            <w:r w:rsidRPr="004407A9">
              <w:rPr>
                <w:rFonts w:ascii="Calibri" w:hAnsi="Calibri" w:cs="Calibri"/>
                <w:sz w:val="20"/>
              </w:rPr>
              <w:t>Utiliser l’IA pour explorer des idées, préparer un plan ou identifier des pistes.</w:t>
            </w:r>
          </w:p>
        </w:tc>
        <w:tc>
          <w:tcPr>
            <w:tcW w:w="6633" w:type="dxa"/>
          </w:tcPr>
          <w:p w14:paraId="50A586FF" w14:textId="581455BC"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Ne pas confondre idées et expression</w:t>
            </w:r>
            <w:r w:rsidR="004407A9" w:rsidRPr="004407A9">
              <w:rPr>
                <w:rFonts w:ascii="Calibri" w:hAnsi="Calibri" w:cs="Calibri"/>
                <w:sz w:val="20"/>
              </w:rPr>
              <w:t> ;</w:t>
            </w:r>
            <w:r w:rsidRPr="004407A9">
              <w:rPr>
                <w:rFonts w:ascii="Calibri" w:hAnsi="Calibri" w:cs="Calibri"/>
                <w:sz w:val="20"/>
              </w:rPr>
              <w:t xml:space="preserve"> vérifier les informations</w:t>
            </w:r>
            <w:r w:rsidR="004407A9" w:rsidRPr="004407A9">
              <w:rPr>
                <w:rFonts w:ascii="Calibri" w:hAnsi="Calibri" w:cs="Calibri"/>
                <w:sz w:val="20"/>
              </w:rPr>
              <w:t> ;</w:t>
            </w:r>
            <w:r w:rsidRPr="004407A9">
              <w:rPr>
                <w:rFonts w:ascii="Calibri" w:hAnsi="Calibri" w:cs="Calibri"/>
                <w:sz w:val="20"/>
              </w:rPr>
              <w:t xml:space="preserve"> construire soi-même l’argumentation et la rédaction finale si l’on revendique l’</w:t>
            </w:r>
            <w:r w:rsidR="006D425B">
              <w:rPr>
                <w:rFonts w:ascii="Calibri" w:hAnsi="Calibri" w:cs="Calibri"/>
                <w:sz w:val="20"/>
              </w:rPr>
              <w:t xml:space="preserve"> «autorat»</w:t>
            </w:r>
            <w:r w:rsidRPr="004407A9">
              <w:rPr>
                <w:rFonts w:ascii="Calibri" w:hAnsi="Calibri" w:cs="Calibri"/>
                <w:sz w:val="20"/>
              </w:rPr>
              <w:t>.</w:t>
            </w:r>
          </w:p>
        </w:tc>
      </w:tr>
      <w:tr w:rsidR="00734B01" w:rsidRPr="004407A9" w14:paraId="6BC9A64E" w14:textId="77777777" w:rsidTr="009111AC">
        <w:tc>
          <w:tcPr>
            <w:cnfStyle w:val="001000000000" w:firstRow="0" w:lastRow="0" w:firstColumn="1" w:lastColumn="0" w:oddVBand="0" w:evenVBand="0" w:oddHBand="0" w:evenHBand="0" w:firstRowFirstColumn="0" w:firstRowLastColumn="0" w:lastRowFirstColumn="0" w:lastRowLastColumn="0"/>
            <w:tcW w:w="3823" w:type="dxa"/>
          </w:tcPr>
          <w:p w14:paraId="11F5B43A" w14:textId="77777777" w:rsidR="00734B01" w:rsidRPr="004407A9" w:rsidRDefault="00734B01" w:rsidP="004407A9">
            <w:pPr>
              <w:jc w:val="left"/>
              <w:rPr>
                <w:rFonts w:ascii="Calibri" w:hAnsi="Calibri" w:cs="Calibri"/>
                <w:sz w:val="20"/>
              </w:rPr>
            </w:pPr>
            <w:r w:rsidRPr="004407A9">
              <w:rPr>
                <w:rFonts w:ascii="Calibri" w:hAnsi="Calibri" w:cs="Calibri"/>
                <w:sz w:val="20"/>
              </w:rPr>
              <w:t>Faire corriger un texte déjà rédigé.</w:t>
            </w:r>
          </w:p>
        </w:tc>
        <w:tc>
          <w:tcPr>
            <w:tcW w:w="6633" w:type="dxa"/>
          </w:tcPr>
          <w:p w14:paraId="1A0FD0CA" w14:textId="3B398C19"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Vérifier que l’outil n’a pas réécrit le fond</w:t>
            </w:r>
            <w:r w:rsidR="004407A9" w:rsidRPr="004407A9">
              <w:rPr>
                <w:rFonts w:ascii="Calibri" w:hAnsi="Calibri" w:cs="Calibri"/>
                <w:sz w:val="20"/>
              </w:rPr>
              <w:t> ;</w:t>
            </w:r>
            <w:r w:rsidRPr="004407A9">
              <w:rPr>
                <w:rFonts w:ascii="Calibri" w:hAnsi="Calibri" w:cs="Calibri"/>
                <w:sz w:val="20"/>
              </w:rPr>
              <w:t xml:space="preserve"> conserver le texte initial et la version finale.</w:t>
            </w:r>
          </w:p>
        </w:tc>
      </w:tr>
      <w:tr w:rsidR="00734B01" w:rsidRPr="004407A9" w14:paraId="1186C775"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1FDDEC5" w14:textId="77777777" w:rsidR="00734B01" w:rsidRPr="004407A9" w:rsidRDefault="00734B01" w:rsidP="004407A9">
            <w:pPr>
              <w:jc w:val="left"/>
              <w:rPr>
                <w:rFonts w:ascii="Calibri" w:hAnsi="Calibri" w:cs="Calibri"/>
                <w:sz w:val="20"/>
              </w:rPr>
            </w:pPr>
            <w:r w:rsidRPr="004407A9">
              <w:rPr>
                <w:rFonts w:ascii="Calibri" w:hAnsi="Calibri" w:cs="Calibri"/>
                <w:sz w:val="20"/>
              </w:rPr>
              <w:t>Faire proposer des reformulations.</w:t>
            </w:r>
          </w:p>
        </w:tc>
        <w:tc>
          <w:tcPr>
            <w:tcW w:w="6633" w:type="dxa"/>
          </w:tcPr>
          <w:p w14:paraId="7357FCB6" w14:textId="5929BE32"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Choisir, combiner et retravailler de façon personnelle</w:t>
            </w:r>
            <w:r w:rsidR="004407A9" w:rsidRPr="004407A9">
              <w:rPr>
                <w:rFonts w:ascii="Calibri" w:hAnsi="Calibri" w:cs="Calibri"/>
                <w:sz w:val="20"/>
              </w:rPr>
              <w:t> ;</w:t>
            </w:r>
            <w:r w:rsidRPr="004407A9">
              <w:rPr>
                <w:rFonts w:ascii="Calibri" w:hAnsi="Calibri" w:cs="Calibri"/>
                <w:sz w:val="20"/>
              </w:rPr>
              <w:t xml:space="preserve"> ne pas revendiquer mécaniquement comme sien un passage généré laissé intact.</w:t>
            </w:r>
          </w:p>
        </w:tc>
      </w:tr>
      <w:tr w:rsidR="00734B01" w:rsidRPr="004407A9" w14:paraId="3208CDBC" w14:textId="77777777" w:rsidTr="009111AC">
        <w:tc>
          <w:tcPr>
            <w:cnfStyle w:val="001000000000" w:firstRow="0" w:lastRow="0" w:firstColumn="1" w:lastColumn="0" w:oddVBand="0" w:evenVBand="0" w:oddHBand="0" w:evenHBand="0" w:firstRowFirstColumn="0" w:firstRowLastColumn="0" w:lastRowFirstColumn="0" w:lastRowLastColumn="0"/>
            <w:tcW w:w="3823" w:type="dxa"/>
          </w:tcPr>
          <w:p w14:paraId="7A9E985C" w14:textId="77777777" w:rsidR="00734B01" w:rsidRPr="004407A9" w:rsidRDefault="00734B01" w:rsidP="004407A9">
            <w:pPr>
              <w:jc w:val="left"/>
              <w:rPr>
                <w:rFonts w:ascii="Calibri" w:hAnsi="Calibri" w:cs="Calibri"/>
                <w:sz w:val="20"/>
              </w:rPr>
            </w:pPr>
            <w:r w:rsidRPr="004407A9">
              <w:rPr>
                <w:rFonts w:ascii="Calibri" w:hAnsi="Calibri" w:cs="Calibri"/>
                <w:sz w:val="20"/>
              </w:rPr>
              <w:t>Résumer des sources licitement accessibles.</w:t>
            </w:r>
          </w:p>
        </w:tc>
        <w:tc>
          <w:tcPr>
            <w:tcW w:w="6633" w:type="dxa"/>
          </w:tcPr>
          <w:p w14:paraId="3147FEDA" w14:textId="20506026"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Ne pas reproduire leur expression originale au-delà d’une exception</w:t>
            </w:r>
            <w:r w:rsidR="004407A9" w:rsidRPr="004407A9">
              <w:rPr>
                <w:rFonts w:ascii="Calibri" w:hAnsi="Calibri" w:cs="Calibri"/>
                <w:sz w:val="20"/>
              </w:rPr>
              <w:t> ;</w:t>
            </w:r>
            <w:r w:rsidRPr="004407A9">
              <w:rPr>
                <w:rFonts w:ascii="Calibri" w:hAnsi="Calibri" w:cs="Calibri"/>
                <w:sz w:val="20"/>
              </w:rPr>
              <w:t xml:space="preserve"> citer les sources</w:t>
            </w:r>
            <w:r w:rsidR="004407A9" w:rsidRPr="004407A9">
              <w:rPr>
                <w:rFonts w:ascii="Calibri" w:hAnsi="Calibri" w:cs="Calibri"/>
                <w:sz w:val="20"/>
              </w:rPr>
              <w:t> ;</w:t>
            </w:r>
            <w:r w:rsidRPr="004407A9">
              <w:rPr>
                <w:rFonts w:ascii="Calibri" w:hAnsi="Calibri" w:cs="Calibri"/>
                <w:sz w:val="20"/>
              </w:rPr>
              <w:t xml:space="preserve"> distinguer faits, idées et formulations protégées.</w:t>
            </w:r>
          </w:p>
        </w:tc>
      </w:tr>
      <w:tr w:rsidR="00734B01" w:rsidRPr="004407A9" w14:paraId="6A1E8213"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16C9654A" w14:textId="77777777" w:rsidR="00734B01" w:rsidRPr="004407A9" w:rsidRDefault="00734B01" w:rsidP="004407A9">
            <w:pPr>
              <w:jc w:val="left"/>
              <w:rPr>
                <w:rFonts w:ascii="Calibri" w:hAnsi="Calibri" w:cs="Calibri"/>
                <w:sz w:val="20"/>
              </w:rPr>
            </w:pPr>
            <w:r w:rsidRPr="004407A9">
              <w:rPr>
                <w:rFonts w:ascii="Calibri" w:hAnsi="Calibri" w:cs="Calibri"/>
                <w:sz w:val="20"/>
              </w:rPr>
              <w:t>Utiliser des œuvres du domaine public.</w:t>
            </w:r>
          </w:p>
        </w:tc>
        <w:tc>
          <w:tcPr>
            <w:tcW w:w="6633" w:type="dxa"/>
          </w:tcPr>
          <w:p w14:paraId="473F8001"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Vérifier l’expiration des droits patrimoniaux, respecter le droit moral français et les droits éventuels sur l’édition, la traduction, les annotations ou la base de données utilisée.</w:t>
            </w:r>
          </w:p>
        </w:tc>
      </w:tr>
      <w:tr w:rsidR="00734B01" w:rsidRPr="004407A9" w14:paraId="2A3E31B0" w14:textId="77777777" w:rsidTr="009111AC">
        <w:tc>
          <w:tcPr>
            <w:cnfStyle w:val="001000000000" w:firstRow="0" w:lastRow="0" w:firstColumn="1" w:lastColumn="0" w:oddVBand="0" w:evenVBand="0" w:oddHBand="0" w:evenHBand="0" w:firstRowFirstColumn="0" w:firstRowLastColumn="0" w:lastRowFirstColumn="0" w:lastRowLastColumn="0"/>
            <w:tcW w:w="3823" w:type="dxa"/>
          </w:tcPr>
          <w:p w14:paraId="2F70F955" w14:textId="77777777" w:rsidR="00734B01" w:rsidRPr="004407A9" w:rsidRDefault="00734B01" w:rsidP="004407A9">
            <w:pPr>
              <w:jc w:val="left"/>
              <w:rPr>
                <w:rFonts w:ascii="Calibri" w:hAnsi="Calibri" w:cs="Calibri"/>
                <w:sz w:val="20"/>
              </w:rPr>
            </w:pPr>
            <w:r w:rsidRPr="004407A9">
              <w:rPr>
                <w:rFonts w:ascii="Calibri" w:hAnsi="Calibri" w:cs="Calibri"/>
                <w:sz w:val="20"/>
              </w:rPr>
              <w:t>Protéger une sélection ou un arrangement de contenus.</w:t>
            </w:r>
          </w:p>
        </w:tc>
        <w:tc>
          <w:tcPr>
            <w:tcW w:w="6633" w:type="dxa"/>
          </w:tcPr>
          <w:p w14:paraId="1C19F0F9"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La sélection, la coordination ou la structure doivent elles-mêmes résulter de choix libres et créatifs.</w:t>
            </w:r>
          </w:p>
        </w:tc>
      </w:tr>
      <w:tr w:rsidR="00734B01" w:rsidRPr="004407A9" w14:paraId="6102912F"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F04ED61" w14:textId="77777777" w:rsidR="00734B01" w:rsidRPr="004407A9" w:rsidRDefault="00734B01" w:rsidP="004407A9">
            <w:pPr>
              <w:jc w:val="left"/>
              <w:rPr>
                <w:rFonts w:ascii="Calibri" w:hAnsi="Calibri" w:cs="Calibri"/>
                <w:sz w:val="20"/>
              </w:rPr>
            </w:pPr>
            <w:r w:rsidRPr="004407A9">
              <w:rPr>
                <w:rFonts w:ascii="Calibri" w:hAnsi="Calibri" w:cs="Calibri"/>
                <w:sz w:val="20"/>
              </w:rPr>
              <w:t>Signer un texte avec assistance IA.</w:t>
            </w:r>
          </w:p>
        </w:tc>
        <w:tc>
          <w:tcPr>
            <w:tcW w:w="6633" w:type="dxa"/>
          </w:tcPr>
          <w:p w14:paraId="6B135DCE" w14:textId="02D96029"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 contribution humaine doit justifier la qualification d’auteur</w:t>
            </w:r>
            <w:r w:rsidR="004407A9" w:rsidRPr="004407A9">
              <w:rPr>
                <w:rFonts w:ascii="Calibri" w:hAnsi="Calibri" w:cs="Calibri"/>
                <w:sz w:val="20"/>
              </w:rPr>
              <w:t> ;</w:t>
            </w:r>
            <w:r w:rsidRPr="004407A9">
              <w:rPr>
                <w:rFonts w:ascii="Calibri" w:hAnsi="Calibri" w:cs="Calibri"/>
                <w:sz w:val="20"/>
              </w:rPr>
              <w:t xml:space="preserve"> les obligations de transparence contractuelles, académiques ou réglementaires doivent être respectées.</w:t>
            </w:r>
          </w:p>
        </w:tc>
      </w:tr>
    </w:tbl>
    <w:p w14:paraId="3A88A0E6" w14:textId="77777777" w:rsidR="00734B01" w:rsidRPr="000E1C6E" w:rsidRDefault="00734B01" w:rsidP="004407A9">
      <w:pPr>
        <w:spacing w:after="0" w:line="240" w:lineRule="auto"/>
      </w:pPr>
    </w:p>
    <w:p w14:paraId="269175D1" w14:textId="77777777" w:rsidR="00734B01" w:rsidRPr="000E1C6E" w:rsidRDefault="00734B01" w:rsidP="009111AC">
      <w:pPr>
        <w:pStyle w:val="Titre2"/>
      </w:pPr>
      <w:r>
        <w:t>4.2. Pratiques interdites, trompeuses ou juridiquement fragiles</w:t>
      </w:r>
    </w:p>
    <w:tbl>
      <w:tblPr>
        <w:tblStyle w:val="TableauGrille4-Accentuation2"/>
        <w:tblW w:w="0" w:type="auto"/>
        <w:tblLook w:val="04A0" w:firstRow="1" w:lastRow="0" w:firstColumn="1" w:lastColumn="0" w:noHBand="0" w:noVBand="1"/>
      </w:tblPr>
      <w:tblGrid>
        <w:gridCol w:w="4946"/>
        <w:gridCol w:w="5510"/>
      </w:tblGrid>
      <w:tr w:rsidR="00734B01" w:rsidRPr="004407A9" w14:paraId="2C70D68A"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356199BC"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Ne pas faire</w:t>
            </w:r>
          </w:p>
        </w:tc>
        <w:tc>
          <w:tcPr>
            <w:tcW w:w="4986" w:type="dxa"/>
          </w:tcPr>
          <w:p w14:paraId="7C538DB8"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Pourquoi</w:t>
            </w:r>
          </w:p>
        </w:tc>
      </w:tr>
      <w:tr w:rsidR="00734B01" w:rsidRPr="004407A9" w14:paraId="4DB0DE43"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tcPr>
          <w:p w14:paraId="7FE327FF" w14:textId="77777777" w:rsidR="00734B01" w:rsidRPr="004407A9" w:rsidRDefault="00734B01" w:rsidP="004407A9">
            <w:pPr>
              <w:jc w:val="left"/>
              <w:rPr>
                <w:rFonts w:ascii="Calibri" w:hAnsi="Calibri" w:cs="Calibri"/>
                <w:sz w:val="20"/>
              </w:rPr>
            </w:pPr>
            <w:r w:rsidRPr="004407A9">
              <w:rPr>
                <w:rFonts w:ascii="Calibri" w:hAnsi="Calibri" w:cs="Calibri"/>
                <w:sz w:val="20"/>
              </w:rPr>
              <w:t>S’attribuer le texte d’une autre personne, même après passage dans une IA.</w:t>
            </w:r>
          </w:p>
        </w:tc>
        <w:tc>
          <w:tcPr>
            <w:tcW w:w="5556" w:type="dxa"/>
          </w:tcPr>
          <w:p w14:paraId="488266DC"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Le changement de quelques mots ne supprime ni le droit de paternité ni le risque de reproduction ou d’adaptation non autorisée.</w:t>
            </w:r>
          </w:p>
        </w:tc>
      </w:tr>
      <w:tr w:rsidR="00734B01" w:rsidRPr="004407A9" w14:paraId="5934AE5A" w14:textId="77777777" w:rsidTr="009111AC">
        <w:tc>
          <w:tcPr>
            <w:cnfStyle w:val="001000000000" w:firstRow="0" w:lastRow="0" w:firstColumn="1" w:lastColumn="0" w:oddVBand="0" w:evenVBand="0" w:oddHBand="0" w:evenHBand="0" w:firstRowFirstColumn="0" w:firstRowLastColumn="0" w:lastRowFirstColumn="0" w:lastRowLastColumn="0"/>
            <w:tcW w:w="3628" w:type="dxa"/>
          </w:tcPr>
          <w:p w14:paraId="154B901A" w14:textId="77777777" w:rsidR="00734B01" w:rsidRPr="004407A9" w:rsidRDefault="00734B01" w:rsidP="004407A9">
            <w:pPr>
              <w:jc w:val="left"/>
              <w:rPr>
                <w:rFonts w:ascii="Calibri" w:hAnsi="Calibri" w:cs="Calibri"/>
                <w:sz w:val="20"/>
              </w:rPr>
            </w:pPr>
            <w:r w:rsidRPr="004407A9">
              <w:rPr>
                <w:rFonts w:ascii="Calibri" w:hAnsi="Calibri" w:cs="Calibri"/>
                <w:sz w:val="20"/>
              </w:rPr>
              <w:t>Signer comme auteur unique un texte principalement généré après une simple correction formelle.</w:t>
            </w:r>
          </w:p>
        </w:tc>
        <w:tc>
          <w:tcPr>
            <w:tcW w:w="5556" w:type="dxa"/>
          </w:tcPr>
          <w:p w14:paraId="0EE3EE2B" w14:textId="127689E2"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La présomption liée au nom peut être renversée</w:t>
            </w:r>
            <w:r w:rsidR="004407A9" w:rsidRPr="004407A9">
              <w:rPr>
                <w:rFonts w:ascii="Calibri" w:hAnsi="Calibri" w:cs="Calibri"/>
                <w:sz w:val="20"/>
              </w:rPr>
              <w:t> ;</w:t>
            </w:r>
            <w:r w:rsidRPr="004407A9">
              <w:rPr>
                <w:rFonts w:ascii="Calibri" w:hAnsi="Calibri" w:cs="Calibri"/>
                <w:sz w:val="20"/>
              </w:rPr>
              <w:t xml:space="preserve"> la contribution ne démontre pas nécessairement des choix expressifs humains.</w:t>
            </w:r>
          </w:p>
        </w:tc>
      </w:tr>
      <w:tr w:rsidR="00734B01" w:rsidRPr="004407A9" w14:paraId="7E974F32"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tcPr>
          <w:p w14:paraId="55119E84" w14:textId="77777777" w:rsidR="00734B01" w:rsidRPr="004407A9" w:rsidRDefault="00734B01" w:rsidP="004407A9">
            <w:pPr>
              <w:jc w:val="left"/>
              <w:rPr>
                <w:rFonts w:ascii="Calibri" w:hAnsi="Calibri" w:cs="Calibri"/>
                <w:sz w:val="20"/>
              </w:rPr>
            </w:pPr>
            <w:r w:rsidRPr="004407A9">
              <w:rPr>
                <w:rFonts w:ascii="Calibri" w:hAnsi="Calibri" w:cs="Calibri"/>
                <w:sz w:val="20"/>
              </w:rPr>
              <w:t>Croire que citer la source autorise toute reprise.</w:t>
            </w:r>
          </w:p>
        </w:tc>
        <w:tc>
          <w:tcPr>
            <w:tcW w:w="5556" w:type="dxa"/>
          </w:tcPr>
          <w:p w14:paraId="1FFB1668" w14:textId="4C6BDC4B"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L’attribution est nécessaire pour la courte citation mais ne suffit pas</w:t>
            </w:r>
            <w:r w:rsidR="004407A9" w:rsidRPr="004407A9">
              <w:rPr>
                <w:rFonts w:ascii="Calibri" w:hAnsi="Calibri" w:cs="Calibri"/>
                <w:sz w:val="20"/>
              </w:rPr>
              <w:t> :</w:t>
            </w:r>
            <w:r w:rsidRPr="004407A9">
              <w:rPr>
                <w:rFonts w:ascii="Calibri" w:hAnsi="Calibri" w:cs="Calibri"/>
                <w:sz w:val="20"/>
              </w:rPr>
              <w:t xml:space="preserve"> la citation doit être courte, justifiée et incorporée à une œuvre d’accueil poursuivant une finalité admise.</w:t>
            </w:r>
          </w:p>
        </w:tc>
      </w:tr>
      <w:tr w:rsidR="00734B01" w:rsidRPr="004407A9" w14:paraId="2FCC6562" w14:textId="77777777" w:rsidTr="009111AC">
        <w:tc>
          <w:tcPr>
            <w:cnfStyle w:val="001000000000" w:firstRow="0" w:lastRow="0" w:firstColumn="1" w:lastColumn="0" w:oddVBand="0" w:evenVBand="0" w:oddHBand="0" w:evenHBand="0" w:firstRowFirstColumn="0" w:firstRowLastColumn="0" w:lastRowFirstColumn="0" w:lastRowLastColumn="0"/>
            <w:tcW w:w="3628" w:type="dxa"/>
          </w:tcPr>
          <w:p w14:paraId="0DC632F1" w14:textId="77777777" w:rsidR="00734B01" w:rsidRPr="004407A9" w:rsidRDefault="00734B01" w:rsidP="004407A9">
            <w:pPr>
              <w:jc w:val="left"/>
              <w:rPr>
                <w:rFonts w:ascii="Calibri" w:hAnsi="Calibri" w:cs="Calibri"/>
                <w:sz w:val="20"/>
              </w:rPr>
            </w:pPr>
            <w:r w:rsidRPr="004407A9">
              <w:rPr>
                <w:rFonts w:ascii="Calibri" w:hAnsi="Calibri" w:cs="Calibri"/>
                <w:sz w:val="20"/>
              </w:rPr>
              <w:t>Paraphraser de très près pour éviter les guillemets.</w:t>
            </w:r>
          </w:p>
        </w:tc>
        <w:tc>
          <w:tcPr>
            <w:tcW w:w="5556" w:type="dxa"/>
          </w:tcPr>
          <w:p w14:paraId="079D121C"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La contrefaçon peut résulter de la reprise des caractéristiques originales, même avec des différences lexicales.</w:t>
            </w:r>
          </w:p>
        </w:tc>
      </w:tr>
      <w:tr w:rsidR="00734B01" w:rsidRPr="004407A9" w14:paraId="06602E11"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tcPr>
          <w:p w14:paraId="4F5A36B2" w14:textId="77777777" w:rsidR="00734B01" w:rsidRPr="004407A9" w:rsidRDefault="00734B01" w:rsidP="004407A9">
            <w:pPr>
              <w:jc w:val="left"/>
              <w:rPr>
                <w:rFonts w:ascii="Calibri" w:hAnsi="Calibri" w:cs="Calibri"/>
                <w:sz w:val="20"/>
              </w:rPr>
            </w:pPr>
            <w:r w:rsidRPr="004407A9">
              <w:rPr>
                <w:rFonts w:ascii="Calibri" w:hAnsi="Calibri" w:cs="Calibri"/>
                <w:sz w:val="20"/>
              </w:rPr>
              <w:t>Réutiliser une structure, une sélection ou un enchaînement très singulier sans analyse.</w:t>
            </w:r>
          </w:p>
        </w:tc>
        <w:tc>
          <w:tcPr>
            <w:tcW w:w="5556" w:type="dxa"/>
          </w:tcPr>
          <w:p w14:paraId="52F11930"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Une combinaison originale d’éléments banals peut être protégée.</w:t>
            </w:r>
          </w:p>
        </w:tc>
      </w:tr>
      <w:tr w:rsidR="00734B01" w:rsidRPr="004407A9" w14:paraId="5CA3FA4B" w14:textId="77777777" w:rsidTr="009111AC">
        <w:tc>
          <w:tcPr>
            <w:cnfStyle w:val="001000000000" w:firstRow="0" w:lastRow="0" w:firstColumn="1" w:lastColumn="0" w:oddVBand="0" w:evenVBand="0" w:oddHBand="0" w:evenHBand="0" w:firstRowFirstColumn="0" w:firstRowLastColumn="0" w:lastRowFirstColumn="0" w:lastRowLastColumn="0"/>
            <w:tcW w:w="3628" w:type="dxa"/>
          </w:tcPr>
          <w:p w14:paraId="32D3FDAC" w14:textId="77777777" w:rsidR="00734B01" w:rsidRPr="004407A9" w:rsidRDefault="00734B01" w:rsidP="004407A9">
            <w:pPr>
              <w:jc w:val="left"/>
              <w:rPr>
                <w:rFonts w:ascii="Calibri" w:hAnsi="Calibri" w:cs="Calibri"/>
                <w:sz w:val="20"/>
              </w:rPr>
            </w:pPr>
            <w:r w:rsidRPr="004407A9">
              <w:rPr>
                <w:rFonts w:ascii="Calibri" w:hAnsi="Calibri" w:cs="Calibri"/>
                <w:sz w:val="20"/>
              </w:rPr>
              <w:t>Supposer que les conditions générales du fournisseur garantissent l’absence de contrefaçon.</w:t>
            </w:r>
          </w:p>
        </w:tc>
        <w:tc>
          <w:tcPr>
            <w:tcW w:w="5556" w:type="dxa"/>
          </w:tcPr>
          <w:p w14:paraId="09B76B81"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Une licence contractuelle sur la sortie ne prouve ni son originalité ni la licéité des éléments repris.</w:t>
            </w:r>
          </w:p>
        </w:tc>
      </w:tr>
      <w:tr w:rsidR="00734B01" w:rsidRPr="004407A9" w14:paraId="353CFB9A"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tcPr>
          <w:p w14:paraId="19C6058F" w14:textId="77777777" w:rsidR="00734B01" w:rsidRPr="004407A9" w:rsidRDefault="00734B01" w:rsidP="004407A9">
            <w:pPr>
              <w:jc w:val="left"/>
              <w:rPr>
                <w:rFonts w:ascii="Calibri" w:hAnsi="Calibri" w:cs="Calibri"/>
                <w:sz w:val="20"/>
              </w:rPr>
            </w:pPr>
            <w:r w:rsidRPr="004407A9">
              <w:rPr>
                <w:rFonts w:ascii="Calibri" w:hAnsi="Calibri" w:cs="Calibri"/>
                <w:sz w:val="20"/>
              </w:rPr>
              <w:t>Déposer une e-Soleau et en déduire que le droit est acquis.</w:t>
            </w:r>
          </w:p>
        </w:tc>
        <w:tc>
          <w:tcPr>
            <w:tcW w:w="5556" w:type="dxa"/>
          </w:tcPr>
          <w:p w14:paraId="5CD01185" w14:textId="1F260DCB"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L’e-Soleau date un contenu et aide à la preuve</w:t>
            </w:r>
            <w:r w:rsidR="004407A9" w:rsidRPr="004407A9">
              <w:rPr>
                <w:rFonts w:ascii="Calibri" w:hAnsi="Calibri" w:cs="Calibri"/>
                <w:sz w:val="20"/>
              </w:rPr>
              <w:t> ;</w:t>
            </w:r>
            <w:r w:rsidRPr="004407A9">
              <w:rPr>
                <w:rFonts w:ascii="Calibri" w:hAnsi="Calibri" w:cs="Calibri"/>
                <w:sz w:val="20"/>
              </w:rPr>
              <w:t xml:space="preserve"> elle ne crée pas l’originalité ni un droit de propriété intellectuelle.</w:t>
            </w:r>
          </w:p>
        </w:tc>
      </w:tr>
      <w:tr w:rsidR="00734B01" w:rsidRPr="004407A9" w14:paraId="0B8036E6" w14:textId="77777777" w:rsidTr="009111AC">
        <w:tc>
          <w:tcPr>
            <w:cnfStyle w:val="001000000000" w:firstRow="0" w:lastRow="0" w:firstColumn="1" w:lastColumn="0" w:oddVBand="0" w:evenVBand="0" w:oddHBand="0" w:evenHBand="0" w:firstRowFirstColumn="0" w:firstRowLastColumn="0" w:lastRowFirstColumn="0" w:lastRowLastColumn="0"/>
            <w:tcW w:w="3628" w:type="dxa"/>
          </w:tcPr>
          <w:p w14:paraId="7F8D0614" w14:textId="77777777" w:rsidR="00734B01" w:rsidRPr="004407A9" w:rsidRDefault="00734B01" w:rsidP="004407A9">
            <w:pPr>
              <w:jc w:val="left"/>
              <w:rPr>
                <w:rFonts w:ascii="Calibri" w:hAnsi="Calibri" w:cs="Calibri"/>
                <w:sz w:val="20"/>
              </w:rPr>
            </w:pPr>
            <w:r w:rsidRPr="004407A9">
              <w:rPr>
                <w:rFonts w:ascii="Calibri" w:hAnsi="Calibri" w:cs="Calibri"/>
                <w:sz w:val="20"/>
              </w:rPr>
              <w:t>Confondre exemption d’étiquetage AI Act et qualité d’auteur.</w:t>
            </w:r>
          </w:p>
        </w:tc>
        <w:tc>
          <w:tcPr>
            <w:tcW w:w="5556" w:type="dxa"/>
          </w:tcPr>
          <w:p w14:paraId="602F23E0"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Une relecture substantielle peut dispenser d’un label dans un cas précis sans transformer le relecteur en auteur du texte.</w:t>
            </w:r>
          </w:p>
        </w:tc>
      </w:tr>
      <w:tr w:rsidR="00734B01" w:rsidRPr="004407A9" w14:paraId="000456A4"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8" w:type="dxa"/>
          </w:tcPr>
          <w:p w14:paraId="50C6C5F5" w14:textId="77777777" w:rsidR="00734B01" w:rsidRPr="004407A9" w:rsidRDefault="00734B01" w:rsidP="004407A9">
            <w:pPr>
              <w:jc w:val="left"/>
              <w:rPr>
                <w:rFonts w:ascii="Calibri" w:hAnsi="Calibri" w:cs="Calibri"/>
                <w:sz w:val="20"/>
              </w:rPr>
            </w:pPr>
            <w:r w:rsidRPr="004407A9">
              <w:rPr>
                <w:rFonts w:ascii="Calibri" w:hAnsi="Calibri" w:cs="Calibri"/>
                <w:sz w:val="20"/>
              </w:rPr>
              <w:t>Introduire dans un outil externe des documents confidentiels ou des données personnelles sans base juridique et garanties.</w:t>
            </w:r>
          </w:p>
        </w:tc>
        <w:tc>
          <w:tcPr>
            <w:tcW w:w="5556" w:type="dxa"/>
          </w:tcPr>
          <w:p w14:paraId="74A52EE1"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Le droit d’auteur n’épuise pas le RGPD, le secret d’affaires, les obligations professionnelles et contractuelles.</w:t>
            </w:r>
          </w:p>
        </w:tc>
      </w:tr>
    </w:tbl>
    <w:p w14:paraId="417C9071" w14:textId="77777777" w:rsidR="00734B01" w:rsidRPr="000E1C6E" w:rsidRDefault="00734B01" w:rsidP="004407A9">
      <w:pPr>
        <w:spacing w:after="0" w:line="240" w:lineRule="auto"/>
      </w:pPr>
    </w:p>
    <w:tbl>
      <w:tblPr>
        <w:tblStyle w:val="Grilledutableau"/>
        <w:tblW w:w="5000" w:type="pct"/>
        <w:tblLook w:val="04A0" w:firstRow="1" w:lastRow="0" w:firstColumn="1" w:lastColumn="0" w:noHBand="0" w:noVBand="1"/>
      </w:tblPr>
      <w:tblGrid>
        <w:gridCol w:w="10456"/>
      </w:tblGrid>
      <w:tr w:rsidR="00734B01" w:rsidRPr="004407A9" w14:paraId="3415481C" w14:textId="77777777" w:rsidTr="006D425B">
        <w:trPr>
          <w:tblHeader/>
        </w:trPr>
        <w:tc>
          <w:tcPr>
            <w:tcW w:w="5000" w:type="pct"/>
          </w:tcPr>
          <w:p w14:paraId="14C77532" w14:textId="4C421592" w:rsidR="00734B01" w:rsidRPr="004407A9" w:rsidRDefault="00734B01" w:rsidP="004407A9">
            <w:pPr>
              <w:jc w:val="left"/>
              <w:rPr>
                <w:rFonts w:ascii="Calibri" w:hAnsi="Calibri" w:cs="Calibri"/>
                <w:sz w:val="20"/>
              </w:rPr>
            </w:pPr>
            <w:r w:rsidRPr="004407A9">
              <w:rPr>
                <w:rFonts w:ascii="Calibri" w:hAnsi="Calibri" w:cs="Calibri"/>
                <w:b/>
                <w:color w:val="17365D"/>
                <w:sz w:val="20"/>
              </w:rPr>
              <w:t>Plagiat</w:t>
            </w:r>
            <w:r w:rsidR="004407A9" w:rsidRPr="004407A9">
              <w:rPr>
                <w:rFonts w:ascii="Calibri" w:hAnsi="Calibri" w:cs="Calibri"/>
                <w:b/>
                <w:color w:val="17365D"/>
                <w:sz w:val="20"/>
              </w:rPr>
              <w:t> :</w:t>
            </w:r>
            <w:r w:rsidRPr="004407A9">
              <w:rPr>
                <w:rFonts w:ascii="Calibri" w:hAnsi="Calibri" w:cs="Calibri"/>
                <w:b/>
                <w:color w:val="17365D"/>
                <w:sz w:val="20"/>
              </w:rPr>
              <w:t xml:space="preserve"> qualification précise</w:t>
            </w:r>
          </w:p>
          <w:p w14:paraId="62BE281A" w14:textId="5CF8CF35" w:rsidR="00734B01" w:rsidRPr="004407A9" w:rsidRDefault="00734B01" w:rsidP="006D425B">
            <w:pPr>
              <w:rPr>
                <w:rFonts w:ascii="Calibri" w:hAnsi="Calibri" w:cs="Calibri"/>
                <w:sz w:val="20"/>
              </w:rPr>
            </w:pPr>
            <w:r w:rsidRPr="004407A9">
              <w:rPr>
                <w:rFonts w:ascii="Calibri" w:hAnsi="Calibri" w:cs="Calibri"/>
                <w:sz w:val="20"/>
              </w:rPr>
              <w:t xml:space="preserve">Le </w:t>
            </w:r>
            <w:r w:rsidR="004407A9" w:rsidRPr="004407A9">
              <w:rPr>
                <w:rFonts w:ascii="Calibri" w:hAnsi="Calibri" w:cs="Calibri"/>
                <w:sz w:val="20"/>
              </w:rPr>
              <w:t>« </w:t>
            </w:r>
            <w:r w:rsidRPr="004407A9">
              <w:rPr>
                <w:rFonts w:ascii="Calibri" w:hAnsi="Calibri" w:cs="Calibri"/>
                <w:sz w:val="20"/>
              </w:rPr>
              <w:t>plagiat</w:t>
            </w:r>
            <w:r w:rsidR="004407A9" w:rsidRPr="004407A9">
              <w:rPr>
                <w:rFonts w:ascii="Calibri" w:hAnsi="Calibri" w:cs="Calibri"/>
                <w:sz w:val="20"/>
              </w:rPr>
              <w:t> »</w:t>
            </w:r>
            <w:r w:rsidRPr="004407A9">
              <w:rPr>
                <w:rFonts w:ascii="Calibri" w:hAnsi="Calibri" w:cs="Calibri"/>
                <w:sz w:val="20"/>
              </w:rPr>
              <w:t xml:space="preserve"> n’est pas une infraction autonome définie comme telle par le Code de la propriété intellectuelle. Selon les faits, il peut constituer une contrefaçon, une atteinte au droit moral de paternité, un manquement contractuel, une faute disciplinaire ou académique, une pratique trompeuse, un acte de concurrence déloyale ou de parasitisme. Un texte non protégeable peut donc rester interdit à s’approprier dans un contexte soumis à des règles d’intégrité.</w:t>
            </w:r>
          </w:p>
        </w:tc>
      </w:tr>
    </w:tbl>
    <w:p w14:paraId="2F7C2BC5" w14:textId="77777777" w:rsidR="00734B01" w:rsidRPr="000E1C6E" w:rsidRDefault="00734B01" w:rsidP="004407A9">
      <w:pPr>
        <w:spacing w:after="0" w:line="240" w:lineRule="auto"/>
      </w:pPr>
    </w:p>
    <w:p w14:paraId="49A7F6FD" w14:textId="77777777" w:rsidR="00734B01" w:rsidRPr="000E1C6E" w:rsidRDefault="00734B01" w:rsidP="00E52BD2">
      <w:pPr>
        <w:pStyle w:val="Titre1"/>
      </w:pPr>
      <w:bookmarkStart w:id="4" w:name="sources"/>
      <w:bookmarkEnd w:id="4"/>
      <w:r>
        <w:lastRenderedPageBreak/>
        <w:t>5. Utiliser des sources sans contrefaire</w:t>
      </w:r>
    </w:p>
    <w:p w14:paraId="4BBB1A42" w14:textId="77777777" w:rsidR="00734B01" w:rsidRPr="000E1C6E" w:rsidRDefault="00734B01" w:rsidP="009111AC">
      <w:pPr>
        <w:pStyle w:val="Titre2"/>
      </w:pPr>
      <w:r>
        <w:t>5.1. Une sortie IA peut être non protégée et néanmoins contrefaisante</w:t>
      </w:r>
    </w:p>
    <w:p w14:paraId="63EB215A" w14:textId="77777777" w:rsidR="00734B01" w:rsidRPr="000E1C6E" w:rsidRDefault="00734B01" w:rsidP="004407A9">
      <w:pPr>
        <w:spacing w:after="0" w:line="240" w:lineRule="auto"/>
      </w:pPr>
      <w:r>
        <w:t>L’article L. 122-4 du Code de la propriété intellectuelle interdit, sans consentement, la reproduction ou représentation intégrale ou partielle d’une œuvre, ainsi que sa traduction, son adaptation, sa transformation ou son arrangement. La licéité de la sortie s’apprécie donc indépendamment de la question de savoir si cette sortie est elle-même protégée.</w:t>
      </w:r>
    </w:p>
    <w:p w14:paraId="4E6B6F8F" w14:textId="1FC47507" w:rsidR="00734B01" w:rsidRPr="000E1C6E" w:rsidRDefault="00734B01" w:rsidP="004407A9">
      <w:pPr>
        <w:spacing w:after="0" w:line="240" w:lineRule="auto"/>
      </w:pPr>
      <w:r>
        <w:t>La jurisprudence française rappelle que la contrefaçon est caractérisée par la reprise des caractéristiques qui fondent l’originalité de l’œuvre première et qu’elle s’apprécie par les ressemblances portant sur ces caractéristiques. Une reformulation n’est pas une immunité</w:t>
      </w:r>
      <w:r w:rsidR="004407A9">
        <w:t> ;</w:t>
      </w:r>
      <w:r>
        <w:t xml:space="preserve"> elle est licite lorsqu’elle reprend des faits ou des idées en adoptant une expression réellement indépendante.</w:t>
      </w:r>
    </w:p>
    <w:p w14:paraId="0AA39014" w14:textId="714D499C"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CPI, art. L. 122-4 et L. 335-3</w:t>
      </w:r>
      <w:r w:rsidR="004407A9">
        <w:rPr>
          <w:lang w:val="fr-FR"/>
        </w:rPr>
        <w:t> ;</w:t>
      </w:r>
      <w:r>
        <w:rPr>
          <w:lang w:val="fr-FR"/>
        </w:rPr>
        <w:t xml:space="preserve"> Cass. 1re civ., 6 janv. 2021, n° 19-20.758.</w:t>
      </w:r>
    </w:p>
    <w:p w14:paraId="3FDAFB8C" w14:textId="550E2407" w:rsidR="00734B01" w:rsidRPr="000E1C6E" w:rsidRDefault="00734B01" w:rsidP="009111AC">
      <w:pPr>
        <w:pStyle w:val="Titre2"/>
      </w:pPr>
      <w:r>
        <w:t>5.2. Textes courts</w:t>
      </w:r>
      <w:r w:rsidR="004407A9">
        <w:t> :</w:t>
      </w:r>
      <w:r>
        <w:t xml:space="preserve"> aucun nombre de mots “sûr”</w:t>
      </w:r>
    </w:p>
    <w:p w14:paraId="4EF1111C" w14:textId="77777777" w:rsidR="00734B01" w:rsidRPr="000E1C6E" w:rsidRDefault="00734B01" w:rsidP="004407A9">
      <w:pPr>
        <w:spacing w:after="0" w:line="240" w:lineRule="auto"/>
      </w:pPr>
      <w:r>
        <w:t>Il n’existe aucun seuil légal de mots ou de pourcentage en dessous duquel la reprise serait automatiquement libre. Dans l’arrêt Infopaq, la Cour de justice a admis qu’un extrait de onze mots pouvait relever du droit de reproduction s’il exprimait des éléments de la création intellectuelle de l’auteur. À l’inverse, une séquence plus longue peut être non protégée si elle est banale, purement factuelle ou dictée par sa fonction.</w:t>
      </w:r>
    </w:p>
    <w:p w14:paraId="112A448E" w14:textId="13117DC0"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CJUE, 16 juill. 2009, Infopaq International, C-5/08.</w:t>
      </w:r>
    </w:p>
    <w:p w14:paraId="1D94A5D9" w14:textId="4A174F17" w:rsidR="00734B01" w:rsidRDefault="00734B01" w:rsidP="009111AC">
      <w:pPr>
        <w:pStyle w:val="Titre2"/>
      </w:pPr>
      <w:r>
        <w:t>5.3. Courte citation</w:t>
      </w:r>
      <w:r w:rsidR="004407A9">
        <w:t> :</w:t>
      </w:r>
      <w:r>
        <w:t xml:space="preserve"> conditions cumulatives</w:t>
      </w:r>
    </w:p>
    <w:tbl>
      <w:tblPr>
        <w:tblStyle w:val="TableauGrille4-Accentuation2"/>
        <w:tblW w:w="0" w:type="auto"/>
        <w:tblLook w:val="04A0" w:firstRow="1" w:lastRow="0" w:firstColumn="1" w:lastColumn="0" w:noHBand="0" w:noVBand="1"/>
      </w:tblPr>
      <w:tblGrid>
        <w:gridCol w:w="3114"/>
        <w:gridCol w:w="7342"/>
      </w:tblGrid>
      <w:tr w:rsidR="00734B01" w:rsidRPr="004407A9" w14:paraId="075E9DFA"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AAB3A64"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Condition</w:t>
            </w:r>
          </w:p>
        </w:tc>
        <w:tc>
          <w:tcPr>
            <w:tcW w:w="7342" w:type="dxa"/>
          </w:tcPr>
          <w:p w14:paraId="45EBEFE2"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Règle</w:t>
            </w:r>
          </w:p>
        </w:tc>
      </w:tr>
      <w:tr w:rsidR="00734B01" w:rsidRPr="004407A9" w14:paraId="6DECCDCF"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3DF305F" w14:textId="77777777" w:rsidR="00734B01" w:rsidRPr="004407A9" w:rsidRDefault="00734B01" w:rsidP="004407A9">
            <w:pPr>
              <w:jc w:val="left"/>
              <w:rPr>
                <w:rFonts w:ascii="Calibri" w:hAnsi="Calibri" w:cs="Calibri"/>
                <w:sz w:val="20"/>
              </w:rPr>
            </w:pPr>
            <w:r w:rsidRPr="004407A9">
              <w:rPr>
                <w:rFonts w:ascii="Calibri" w:hAnsi="Calibri" w:cs="Calibri"/>
                <w:sz w:val="20"/>
              </w:rPr>
              <w:t>Œuvre divulguée</w:t>
            </w:r>
          </w:p>
        </w:tc>
        <w:tc>
          <w:tcPr>
            <w:tcW w:w="7342" w:type="dxa"/>
          </w:tcPr>
          <w:p w14:paraId="344FA153"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 source citée doit avoir été licitement rendue accessible au public.</w:t>
            </w:r>
          </w:p>
        </w:tc>
      </w:tr>
      <w:tr w:rsidR="00734B01" w:rsidRPr="004407A9" w14:paraId="0EC0F0E3" w14:textId="77777777" w:rsidTr="009111AC">
        <w:tc>
          <w:tcPr>
            <w:cnfStyle w:val="001000000000" w:firstRow="0" w:lastRow="0" w:firstColumn="1" w:lastColumn="0" w:oddVBand="0" w:evenVBand="0" w:oddHBand="0" w:evenHBand="0" w:firstRowFirstColumn="0" w:firstRowLastColumn="0" w:lastRowFirstColumn="0" w:lastRowLastColumn="0"/>
            <w:tcW w:w="3114" w:type="dxa"/>
          </w:tcPr>
          <w:p w14:paraId="30A0642E" w14:textId="77777777" w:rsidR="00734B01" w:rsidRPr="004407A9" w:rsidRDefault="00734B01" w:rsidP="004407A9">
            <w:pPr>
              <w:jc w:val="left"/>
              <w:rPr>
                <w:rFonts w:ascii="Calibri" w:hAnsi="Calibri" w:cs="Calibri"/>
                <w:sz w:val="20"/>
              </w:rPr>
            </w:pPr>
            <w:r w:rsidRPr="004407A9">
              <w:rPr>
                <w:rFonts w:ascii="Calibri" w:hAnsi="Calibri" w:cs="Calibri"/>
                <w:sz w:val="20"/>
              </w:rPr>
              <w:t>Auteur et source indiqués</w:t>
            </w:r>
          </w:p>
        </w:tc>
        <w:tc>
          <w:tcPr>
            <w:tcW w:w="7342" w:type="dxa"/>
          </w:tcPr>
          <w:p w14:paraId="142FF46F"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Le nom de l’auteur et la source doivent être clairement identifiés, sauf impossibilité justifiée.</w:t>
            </w:r>
          </w:p>
        </w:tc>
      </w:tr>
      <w:tr w:rsidR="00734B01" w:rsidRPr="004407A9" w14:paraId="5A97FC79"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AE5EE89" w14:textId="77777777" w:rsidR="00734B01" w:rsidRPr="004407A9" w:rsidRDefault="00734B01" w:rsidP="004407A9">
            <w:pPr>
              <w:jc w:val="left"/>
              <w:rPr>
                <w:rFonts w:ascii="Calibri" w:hAnsi="Calibri" w:cs="Calibri"/>
                <w:sz w:val="20"/>
              </w:rPr>
            </w:pPr>
            <w:r w:rsidRPr="004407A9">
              <w:rPr>
                <w:rFonts w:ascii="Calibri" w:hAnsi="Calibri" w:cs="Calibri"/>
                <w:sz w:val="20"/>
              </w:rPr>
              <w:t>Finalité</w:t>
            </w:r>
          </w:p>
        </w:tc>
        <w:tc>
          <w:tcPr>
            <w:tcW w:w="7342" w:type="dxa"/>
          </w:tcPr>
          <w:p w14:paraId="01FCCED9"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 citation doit être justifiée par le caractère critique, polémique, pédagogique, scientifique ou d’information de l’œuvre d’accueil.</w:t>
            </w:r>
          </w:p>
        </w:tc>
      </w:tr>
      <w:tr w:rsidR="00734B01" w:rsidRPr="004407A9" w14:paraId="57F0232E" w14:textId="77777777" w:rsidTr="009111AC">
        <w:tc>
          <w:tcPr>
            <w:cnfStyle w:val="001000000000" w:firstRow="0" w:lastRow="0" w:firstColumn="1" w:lastColumn="0" w:oddVBand="0" w:evenVBand="0" w:oddHBand="0" w:evenHBand="0" w:firstRowFirstColumn="0" w:firstRowLastColumn="0" w:lastRowFirstColumn="0" w:lastRowLastColumn="0"/>
            <w:tcW w:w="3114" w:type="dxa"/>
          </w:tcPr>
          <w:p w14:paraId="13BD9D28" w14:textId="77777777" w:rsidR="00734B01" w:rsidRPr="004407A9" w:rsidRDefault="00734B01" w:rsidP="004407A9">
            <w:pPr>
              <w:jc w:val="left"/>
              <w:rPr>
                <w:rFonts w:ascii="Calibri" w:hAnsi="Calibri" w:cs="Calibri"/>
                <w:sz w:val="20"/>
              </w:rPr>
            </w:pPr>
            <w:r w:rsidRPr="004407A9">
              <w:rPr>
                <w:rFonts w:ascii="Calibri" w:hAnsi="Calibri" w:cs="Calibri"/>
                <w:sz w:val="20"/>
              </w:rPr>
              <w:t>Brièveté et proportion</w:t>
            </w:r>
          </w:p>
        </w:tc>
        <w:tc>
          <w:tcPr>
            <w:tcW w:w="7342" w:type="dxa"/>
          </w:tcPr>
          <w:p w14:paraId="6C42C0ED" w14:textId="2D3BAF3E"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La longueur s’apprécie relativement à l’œuvre citée et à l’œuvre d’accueil</w:t>
            </w:r>
            <w:r w:rsidR="004407A9" w:rsidRPr="004407A9">
              <w:rPr>
                <w:rFonts w:ascii="Calibri" w:hAnsi="Calibri" w:cs="Calibri"/>
                <w:sz w:val="20"/>
              </w:rPr>
              <w:t> ;</w:t>
            </w:r>
            <w:r w:rsidRPr="004407A9">
              <w:rPr>
                <w:rFonts w:ascii="Calibri" w:hAnsi="Calibri" w:cs="Calibri"/>
                <w:sz w:val="20"/>
              </w:rPr>
              <w:t xml:space="preserve"> il n’existe pas de quota fixe.</w:t>
            </w:r>
          </w:p>
        </w:tc>
      </w:tr>
      <w:tr w:rsidR="00734B01" w:rsidRPr="004407A9" w14:paraId="6735A95F"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328288E2" w14:textId="77777777" w:rsidR="00734B01" w:rsidRPr="004407A9" w:rsidRDefault="00734B01" w:rsidP="004407A9">
            <w:pPr>
              <w:jc w:val="left"/>
              <w:rPr>
                <w:rFonts w:ascii="Calibri" w:hAnsi="Calibri" w:cs="Calibri"/>
                <w:sz w:val="20"/>
              </w:rPr>
            </w:pPr>
            <w:r w:rsidRPr="004407A9">
              <w:rPr>
                <w:rFonts w:ascii="Calibri" w:hAnsi="Calibri" w:cs="Calibri"/>
                <w:sz w:val="20"/>
              </w:rPr>
              <w:t>Incorporation</w:t>
            </w:r>
          </w:p>
        </w:tc>
        <w:tc>
          <w:tcPr>
            <w:tcW w:w="7342" w:type="dxa"/>
          </w:tcPr>
          <w:p w14:paraId="54CA1287" w14:textId="60342EDA"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 citation doit servir une démonstration ou une analyse</w:t>
            </w:r>
            <w:r w:rsidR="004407A9" w:rsidRPr="004407A9">
              <w:rPr>
                <w:rFonts w:ascii="Calibri" w:hAnsi="Calibri" w:cs="Calibri"/>
                <w:sz w:val="20"/>
              </w:rPr>
              <w:t> ;</w:t>
            </w:r>
            <w:r w:rsidRPr="004407A9">
              <w:rPr>
                <w:rFonts w:ascii="Calibri" w:hAnsi="Calibri" w:cs="Calibri"/>
                <w:sz w:val="20"/>
              </w:rPr>
              <w:t xml:space="preserve"> une juxtaposition décorative ou un substitut à l’œuvre n’est pas couvert.</w:t>
            </w:r>
          </w:p>
        </w:tc>
      </w:tr>
      <w:tr w:rsidR="00734B01" w:rsidRPr="004407A9" w14:paraId="185BC267" w14:textId="77777777" w:rsidTr="009111AC">
        <w:tc>
          <w:tcPr>
            <w:cnfStyle w:val="001000000000" w:firstRow="0" w:lastRow="0" w:firstColumn="1" w:lastColumn="0" w:oddVBand="0" w:evenVBand="0" w:oddHBand="0" w:evenHBand="0" w:firstRowFirstColumn="0" w:firstRowLastColumn="0" w:lastRowFirstColumn="0" w:lastRowLastColumn="0"/>
            <w:tcW w:w="3114" w:type="dxa"/>
          </w:tcPr>
          <w:p w14:paraId="10AF83AC" w14:textId="77777777" w:rsidR="00734B01" w:rsidRPr="004407A9" w:rsidRDefault="00734B01" w:rsidP="004407A9">
            <w:pPr>
              <w:jc w:val="left"/>
              <w:rPr>
                <w:rFonts w:ascii="Calibri" w:hAnsi="Calibri" w:cs="Calibri"/>
                <w:sz w:val="20"/>
              </w:rPr>
            </w:pPr>
            <w:r w:rsidRPr="004407A9">
              <w:rPr>
                <w:rFonts w:ascii="Calibri" w:hAnsi="Calibri" w:cs="Calibri"/>
                <w:sz w:val="20"/>
              </w:rPr>
              <w:t>Intégrité</w:t>
            </w:r>
          </w:p>
        </w:tc>
        <w:tc>
          <w:tcPr>
            <w:tcW w:w="7342" w:type="dxa"/>
          </w:tcPr>
          <w:p w14:paraId="385B0F03"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Les coupures et modifications ne doivent pas dénaturer le propos ni porter atteinte au droit moral.</w:t>
            </w:r>
          </w:p>
        </w:tc>
      </w:tr>
    </w:tbl>
    <w:p w14:paraId="133DBADE" w14:textId="77777777" w:rsidR="00734B01" w:rsidRPr="000E1C6E" w:rsidRDefault="00734B01" w:rsidP="004407A9">
      <w:pPr>
        <w:spacing w:after="0" w:line="240" w:lineRule="auto"/>
      </w:pPr>
    </w:p>
    <w:p w14:paraId="42369B22" w14:textId="2E4C8E50"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CPI, art. L. 122-5, 3° a), et L. 121-1.</w:t>
      </w:r>
    </w:p>
    <w:p w14:paraId="43EA41F1" w14:textId="77777777" w:rsidR="00734B01" w:rsidRPr="000E1C6E" w:rsidRDefault="00734B01" w:rsidP="009111AC">
      <w:pPr>
        <w:pStyle w:val="Titre2"/>
      </w:pPr>
      <w:r>
        <w:t>5.4. Œuvre composite, traduction et adaptation</w:t>
      </w:r>
    </w:p>
    <w:p w14:paraId="0CF0852F" w14:textId="77777777" w:rsidR="00734B01" w:rsidRPr="000E1C6E" w:rsidRDefault="00734B01" w:rsidP="004407A9">
      <w:pPr>
        <w:spacing w:after="0" w:line="240" w:lineRule="auto"/>
      </w:pPr>
      <w:r>
        <w:t>Une traduction, une adaptation ou une réécriture peut comporter une originalité propre. Elle reste toutefois réalisée sans préjudice des droits sur l’œuvre première. Tant que celle-ci est protégée, l’exploitation de l’œuvre seconde nécessite en principe l’autorisation du titulaire, sauf exception légale applicable.</w:t>
      </w:r>
    </w:p>
    <w:p w14:paraId="02320C42" w14:textId="6F7E1E8B" w:rsidR="00734B01" w:rsidRPr="000E1C6E" w:rsidRDefault="00734B01" w:rsidP="004407A9">
      <w:pPr>
        <w:spacing w:after="0" w:line="240" w:lineRule="auto"/>
      </w:pPr>
      <w:r>
        <w:t>Pour une production hybride, il faut donc vérifier deux chaînes distinctes</w:t>
      </w:r>
      <w:r w:rsidR="004407A9">
        <w:t> :</w:t>
      </w:r>
      <w:r>
        <w:t xml:space="preserve"> la chaîne de création humaine du texte final et la chaîne d’autorisations relative aux éléments antérieurs incorporés ou transformés.</w:t>
      </w:r>
    </w:p>
    <w:p w14:paraId="550CEB95" w14:textId="77777777" w:rsidR="00734B01" w:rsidRPr="000E1C6E" w:rsidRDefault="00734B01" w:rsidP="009111AC">
      <w:pPr>
        <w:pStyle w:val="Titre2"/>
      </w:pPr>
      <w:r>
        <w:t>5.5. Fouille de textes et de données et entraînement</w:t>
      </w:r>
    </w:p>
    <w:p w14:paraId="6BB6A864" w14:textId="77777777" w:rsidR="00734B01" w:rsidRPr="000E1C6E" w:rsidRDefault="00734B01" w:rsidP="004407A9">
      <w:pPr>
        <w:spacing w:after="0" w:line="240" w:lineRule="auto"/>
      </w:pPr>
      <w:r>
        <w:t>Les exceptions de fouille de textes et de données ne constituent pas une autorisation générale de republier les œuvres analysées. En France, l’article L. 122-5-3 du Code de la propriété intellectuelle distingue notamment la recherche scientifique et les autres finalités, ces dernières étant conditionnées par l’accès licite et l’absence de réservation appropriée des droits. Les fournisseurs de modèles d’IA à usage général doivent en outre mettre en place une politique de conformité au droit d’auteur de l’Union et publier un résumé suffisamment détaillé des contenus d’entraînement selon l’article 53 de l’AI Act.</w:t>
      </w:r>
    </w:p>
    <w:p w14:paraId="5966FF6F" w14:textId="77777777" w:rsidR="00734B01" w:rsidRPr="000E1C6E" w:rsidRDefault="00734B01" w:rsidP="004407A9">
      <w:pPr>
        <w:spacing w:after="0" w:line="240" w:lineRule="auto"/>
      </w:pPr>
      <w:r>
        <w:t>Pour l’utilisateur final, ces règles ne dispensent jamais de vérifier la licéité des documents injectés dans l’outil et des sorties publiées.</w:t>
      </w:r>
    </w:p>
    <w:p w14:paraId="5F622FF2" w14:textId="0021644D"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Directive (UE) 2019/790, art. 3 et 4</w:t>
      </w:r>
      <w:r w:rsidR="004407A9">
        <w:rPr>
          <w:lang w:val="fr-FR"/>
        </w:rPr>
        <w:t> ;</w:t>
      </w:r>
      <w:r>
        <w:rPr>
          <w:lang w:val="fr-FR"/>
        </w:rPr>
        <w:t xml:space="preserve"> CPI, art. L. 122-5-3</w:t>
      </w:r>
      <w:r w:rsidR="004407A9">
        <w:rPr>
          <w:lang w:val="fr-FR"/>
        </w:rPr>
        <w:t> ;</w:t>
      </w:r>
      <w:r>
        <w:rPr>
          <w:lang w:val="fr-FR"/>
        </w:rPr>
        <w:t xml:space="preserve"> règlement (UE) 2024/1689, art. 53.</w:t>
      </w:r>
    </w:p>
    <w:p w14:paraId="54D642F6" w14:textId="77777777" w:rsidR="00734B01" w:rsidRPr="000E1C6E" w:rsidRDefault="00734B01" w:rsidP="009111AC">
      <w:pPr>
        <w:pStyle w:val="Titre2"/>
      </w:pPr>
      <w:r>
        <w:lastRenderedPageBreak/>
        <w:t>5.6. Autres droits de propriété intellectuelle ou actifs protégés</w:t>
      </w:r>
    </w:p>
    <w:tbl>
      <w:tblPr>
        <w:tblStyle w:val="TableauGrille4-Accentuation2"/>
        <w:tblW w:w="0" w:type="auto"/>
        <w:tblLook w:val="04A0" w:firstRow="1" w:lastRow="0" w:firstColumn="1" w:lastColumn="0" w:noHBand="0" w:noVBand="1"/>
      </w:tblPr>
      <w:tblGrid>
        <w:gridCol w:w="3397"/>
        <w:gridCol w:w="7059"/>
      </w:tblGrid>
      <w:tr w:rsidR="00734B01" w:rsidRPr="004407A9" w14:paraId="30F618A5"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3AD3AE5C"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Risque</w:t>
            </w:r>
          </w:p>
        </w:tc>
        <w:tc>
          <w:tcPr>
            <w:tcW w:w="7059" w:type="dxa"/>
          </w:tcPr>
          <w:p w14:paraId="65D4D4D7"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Vérification</w:t>
            </w:r>
          </w:p>
        </w:tc>
      </w:tr>
      <w:tr w:rsidR="00734B01" w:rsidRPr="004407A9" w14:paraId="715200B3"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6C1C31EE" w14:textId="77777777" w:rsidR="00734B01" w:rsidRPr="004407A9" w:rsidRDefault="00734B01" w:rsidP="004407A9">
            <w:pPr>
              <w:jc w:val="left"/>
              <w:rPr>
                <w:rFonts w:ascii="Calibri" w:hAnsi="Calibri" w:cs="Calibri"/>
                <w:sz w:val="20"/>
              </w:rPr>
            </w:pPr>
            <w:r w:rsidRPr="004407A9">
              <w:rPr>
                <w:rFonts w:ascii="Calibri" w:hAnsi="Calibri" w:cs="Calibri"/>
                <w:sz w:val="20"/>
              </w:rPr>
              <w:t>Base de données</w:t>
            </w:r>
          </w:p>
        </w:tc>
        <w:tc>
          <w:tcPr>
            <w:tcW w:w="7059" w:type="dxa"/>
          </w:tcPr>
          <w:p w14:paraId="10B455F3"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Une extraction ou réutilisation substantielle peut porter atteinte au droit sui generis du producteur, même lorsque les données prises isolément ne sont pas protégées.</w:t>
            </w:r>
          </w:p>
        </w:tc>
      </w:tr>
      <w:tr w:rsidR="00734B01" w:rsidRPr="004407A9" w14:paraId="76A122B7" w14:textId="77777777" w:rsidTr="009111AC">
        <w:tc>
          <w:tcPr>
            <w:cnfStyle w:val="001000000000" w:firstRow="0" w:lastRow="0" w:firstColumn="1" w:lastColumn="0" w:oddVBand="0" w:evenVBand="0" w:oddHBand="0" w:evenHBand="0" w:firstRowFirstColumn="0" w:firstRowLastColumn="0" w:lastRowFirstColumn="0" w:lastRowLastColumn="0"/>
            <w:tcW w:w="3397" w:type="dxa"/>
          </w:tcPr>
          <w:p w14:paraId="71F1C06C" w14:textId="77777777" w:rsidR="00734B01" w:rsidRPr="004407A9" w:rsidRDefault="00734B01" w:rsidP="004407A9">
            <w:pPr>
              <w:jc w:val="left"/>
              <w:rPr>
                <w:rFonts w:ascii="Calibri" w:hAnsi="Calibri" w:cs="Calibri"/>
                <w:sz w:val="20"/>
              </w:rPr>
            </w:pPr>
            <w:r w:rsidRPr="004407A9">
              <w:rPr>
                <w:rFonts w:ascii="Calibri" w:hAnsi="Calibri" w:cs="Calibri"/>
                <w:sz w:val="20"/>
              </w:rPr>
              <w:t>Marque et signes distinctifs</w:t>
            </w:r>
          </w:p>
        </w:tc>
        <w:tc>
          <w:tcPr>
            <w:tcW w:w="7059" w:type="dxa"/>
          </w:tcPr>
          <w:p w14:paraId="626FD091"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L’usage d’un nom, logo ou signe dans un contexte commercial peut créer un risque de contrefaçon, d’atteinte à la renommée ou de confusion.</w:t>
            </w:r>
          </w:p>
        </w:tc>
      </w:tr>
      <w:tr w:rsidR="00734B01" w:rsidRPr="004407A9" w14:paraId="05844D0F"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1EBDB0BB" w14:textId="77777777" w:rsidR="00734B01" w:rsidRPr="004407A9" w:rsidRDefault="00734B01" w:rsidP="004407A9">
            <w:pPr>
              <w:jc w:val="left"/>
              <w:rPr>
                <w:rFonts w:ascii="Calibri" w:hAnsi="Calibri" w:cs="Calibri"/>
                <w:sz w:val="20"/>
              </w:rPr>
            </w:pPr>
            <w:r w:rsidRPr="004407A9">
              <w:rPr>
                <w:rFonts w:ascii="Calibri" w:hAnsi="Calibri" w:cs="Calibri"/>
                <w:sz w:val="20"/>
              </w:rPr>
              <w:t>Secret d’affaires et confidentialité</w:t>
            </w:r>
          </w:p>
        </w:tc>
        <w:tc>
          <w:tcPr>
            <w:tcW w:w="7059" w:type="dxa"/>
          </w:tcPr>
          <w:p w14:paraId="6E31BF49"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Un texte peut être libre de droit d’auteur mais couvert par une obligation de secret ou de non-divulgation.</w:t>
            </w:r>
          </w:p>
        </w:tc>
      </w:tr>
      <w:tr w:rsidR="00734B01" w:rsidRPr="004407A9" w14:paraId="37AB57F3" w14:textId="77777777" w:rsidTr="009111AC">
        <w:tc>
          <w:tcPr>
            <w:cnfStyle w:val="001000000000" w:firstRow="0" w:lastRow="0" w:firstColumn="1" w:lastColumn="0" w:oddVBand="0" w:evenVBand="0" w:oddHBand="0" w:evenHBand="0" w:firstRowFirstColumn="0" w:firstRowLastColumn="0" w:lastRowFirstColumn="0" w:lastRowLastColumn="0"/>
            <w:tcW w:w="3397" w:type="dxa"/>
          </w:tcPr>
          <w:p w14:paraId="3F8CDD8A" w14:textId="77777777" w:rsidR="00734B01" w:rsidRPr="004407A9" w:rsidRDefault="00734B01" w:rsidP="004407A9">
            <w:pPr>
              <w:jc w:val="left"/>
              <w:rPr>
                <w:rFonts w:ascii="Calibri" w:hAnsi="Calibri" w:cs="Calibri"/>
                <w:sz w:val="20"/>
              </w:rPr>
            </w:pPr>
            <w:r w:rsidRPr="004407A9">
              <w:rPr>
                <w:rFonts w:ascii="Calibri" w:hAnsi="Calibri" w:cs="Calibri"/>
                <w:sz w:val="20"/>
              </w:rPr>
              <w:t>Données personnelles et réputation</w:t>
            </w:r>
          </w:p>
        </w:tc>
        <w:tc>
          <w:tcPr>
            <w:tcW w:w="7059" w:type="dxa"/>
          </w:tcPr>
          <w:p w14:paraId="1A1BCD9A"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La publication peut relever du RGPD, du droit à l’image, de la diffamation ou de la vie privée.</w:t>
            </w:r>
          </w:p>
        </w:tc>
      </w:tr>
      <w:tr w:rsidR="00734B01" w:rsidRPr="004407A9" w14:paraId="6B783D60"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4359D84C" w14:textId="77777777" w:rsidR="00734B01" w:rsidRPr="004407A9" w:rsidRDefault="00734B01" w:rsidP="004407A9">
            <w:pPr>
              <w:jc w:val="left"/>
              <w:rPr>
                <w:rFonts w:ascii="Calibri" w:hAnsi="Calibri" w:cs="Calibri"/>
                <w:sz w:val="20"/>
              </w:rPr>
            </w:pPr>
            <w:r w:rsidRPr="004407A9">
              <w:rPr>
                <w:rFonts w:ascii="Calibri" w:hAnsi="Calibri" w:cs="Calibri"/>
                <w:sz w:val="20"/>
              </w:rPr>
              <w:t>Brevets, dessins et modèles</w:t>
            </w:r>
          </w:p>
        </w:tc>
        <w:tc>
          <w:tcPr>
            <w:tcW w:w="7059" w:type="dxa"/>
          </w:tcPr>
          <w:p w14:paraId="68CBBF56"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La divulgation d’une solution ou la reproduction d’une apparence peut relever de titres distincts du droit d’auteur.</w:t>
            </w:r>
          </w:p>
        </w:tc>
      </w:tr>
    </w:tbl>
    <w:p w14:paraId="7ED784BB" w14:textId="77777777" w:rsidR="00734B01" w:rsidRPr="000E1C6E" w:rsidRDefault="00734B01" w:rsidP="004407A9">
      <w:pPr>
        <w:spacing w:after="0" w:line="240" w:lineRule="auto"/>
      </w:pPr>
    </w:p>
    <w:p w14:paraId="2D0BF9B0" w14:textId="68EBDB9D"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CPI, art. L. 341-1 et s.</w:t>
      </w:r>
      <w:r w:rsidR="004407A9">
        <w:rPr>
          <w:lang w:val="fr-FR"/>
        </w:rPr>
        <w:t> ;</w:t>
      </w:r>
      <w:r>
        <w:rPr>
          <w:lang w:val="fr-FR"/>
        </w:rPr>
        <w:t xml:space="preserve"> textes spéciaux applicables selon le contenu et l’usage.</w:t>
      </w:r>
    </w:p>
    <w:p w14:paraId="3F76A33D" w14:textId="46690031" w:rsidR="00734B01" w:rsidRPr="000E1C6E" w:rsidRDefault="00734B01" w:rsidP="00E52BD2">
      <w:pPr>
        <w:pStyle w:val="Titre1"/>
      </w:pPr>
      <w:bookmarkStart w:id="5" w:name="article50"/>
      <w:bookmarkEnd w:id="5"/>
      <w:r>
        <w:t>6. Transparence de l’IA</w:t>
      </w:r>
      <w:r w:rsidR="004407A9">
        <w:t> :</w:t>
      </w:r>
      <w:r>
        <w:t xml:space="preserve"> article 50 de l’AI Act</w:t>
      </w:r>
    </w:p>
    <w:tbl>
      <w:tblPr>
        <w:tblStyle w:val="Grilledutableau"/>
        <w:tblW w:w="5000" w:type="pct"/>
        <w:tblLook w:val="04A0" w:firstRow="1" w:lastRow="0" w:firstColumn="1" w:lastColumn="0" w:noHBand="0" w:noVBand="1"/>
      </w:tblPr>
      <w:tblGrid>
        <w:gridCol w:w="10456"/>
      </w:tblGrid>
      <w:tr w:rsidR="00734B01" w:rsidRPr="004407A9" w14:paraId="3C29FEF5" w14:textId="77777777" w:rsidTr="006D425B">
        <w:trPr>
          <w:tblHeader/>
        </w:trPr>
        <w:tc>
          <w:tcPr>
            <w:tcW w:w="5000" w:type="pct"/>
          </w:tcPr>
          <w:p w14:paraId="4CEB38B1" w14:textId="77777777" w:rsidR="00734B01" w:rsidRPr="004407A9" w:rsidRDefault="00734B01" w:rsidP="004407A9">
            <w:pPr>
              <w:jc w:val="left"/>
              <w:rPr>
                <w:rFonts w:ascii="Calibri" w:hAnsi="Calibri" w:cs="Calibri"/>
                <w:sz w:val="20"/>
              </w:rPr>
            </w:pPr>
            <w:r w:rsidRPr="004407A9">
              <w:rPr>
                <w:rFonts w:ascii="Calibri" w:hAnsi="Calibri" w:cs="Calibri"/>
                <w:b/>
                <w:color w:val="17365D"/>
                <w:sz w:val="20"/>
              </w:rPr>
              <w:t>Attention à la distinction</w:t>
            </w:r>
          </w:p>
          <w:p w14:paraId="45612DE2" w14:textId="42E7AD2C" w:rsidR="00734B01" w:rsidRPr="004407A9" w:rsidRDefault="00734B01" w:rsidP="006D425B">
            <w:pPr>
              <w:rPr>
                <w:rFonts w:ascii="Calibri" w:hAnsi="Calibri" w:cs="Calibri"/>
                <w:sz w:val="20"/>
              </w:rPr>
            </w:pPr>
            <w:r w:rsidRPr="004407A9">
              <w:rPr>
                <w:rFonts w:ascii="Calibri" w:hAnsi="Calibri" w:cs="Calibri"/>
                <w:sz w:val="20"/>
              </w:rPr>
              <w:t>L’article 50 ne décide ni qui est auteur, ni si un texte est protégé, ni s’il est contrefaisant. Il impose, dans certains cas, une information du public sur le caractère artificiellement généré ou manipulé du contenu.</w:t>
            </w:r>
          </w:p>
        </w:tc>
      </w:tr>
    </w:tbl>
    <w:p w14:paraId="3226DE43" w14:textId="77777777" w:rsidR="00734B01" w:rsidRPr="000E1C6E" w:rsidRDefault="00734B01" w:rsidP="004407A9">
      <w:pPr>
        <w:spacing w:after="0" w:line="240" w:lineRule="auto"/>
      </w:pPr>
    </w:p>
    <w:p w14:paraId="18298157" w14:textId="77777777" w:rsidR="00734B01" w:rsidRPr="000E1C6E" w:rsidRDefault="00734B01" w:rsidP="009111AC">
      <w:pPr>
        <w:pStyle w:val="Titre2"/>
      </w:pPr>
      <w:r>
        <w:t>6.1. Date et champ</w:t>
      </w:r>
    </w:p>
    <w:p w14:paraId="0B53A7A6" w14:textId="3D3DDD3E" w:rsidR="00734B01" w:rsidRPr="000E1C6E" w:rsidRDefault="00734B01" w:rsidP="004407A9">
      <w:pPr>
        <w:spacing w:after="0" w:line="240" w:lineRule="auto"/>
      </w:pPr>
      <w:r>
        <w:t>L’article 50 du règlement (UE) 2024/1689 est applicable depuis le 2 août 2026. Pour les textes, l’obligation vise le déployeur d’un système d’IA qui génère ou manipule un texte publié afin d’informer le public sur une question d’intérêt public. Les lignes directrices de la Commission retiennent trois critères cumulatifs</w:t>
      </w:r>
      <w:r w:rsidR="004407A9">
        <w:t> :</w:t>
      </w:r>
      <w:r>
        <w:t xml:space="preserve"> le texte est publié, il informe le public et il porte sur une question d’intérêt public.</w:t>
      </w:r>
    </w:p>
    <w:p w14:paraId="235331E5" w14:textId="77777777" w:rsidR="00734B01" w:rsidRPr="000E1C6E" w:rsidRDefault="00734B01" w:rsidP="004407A9">
      <w:pPr>
        <w:spacing w:after="0" w:line="240" w:lineRule="auto"/>
      </w:pPr>
      <w:r>
        <w:t>Sont notamment visés les sujets relatifs à la politique, aux processus démocratiques, à l’administration et aux services publics, à la justice, aux droits fondamentaux, à la sécurité publique, à la santé publique, à l’environnement, à la sécurité des consommateurs et aux développements économiques, financiers, politiques, scientifiques ou culturels susceptibles d’alimenter le débat public.</w:t>
      </w:r>
    </w:p>
    <w:p w14:paraId="49ADE692" w14:textId="60E8B291" w:rsidR="00734B01" w:rsidRPr="000E1C6E" w:rsidRDefault="00734B01" w:rsidP="004407A9">
      <w:pPr>
        <w:pStyle w:val="LegalBase"/>
        <w:spacing w:after="0" w:line="240" w:lineRule="auto"/>
        <w:jc w:val="both"/>
        <w:rPr>
          <w:lang w:val="fr-FR"/>
        </w:rPr>
      </w:pPr>
      <w:r>
        <w:rPr>
          <w:lang w:val="fr-FR"/>
        </w:rPr>
        <w:t>Fondements</w:t>
      </w:r>
      <w:r w:rsidR="004407A9">
        <w:rPr>
          <w:lang w:val="fr-FR"/>
        </w:rPr>
        <w:t> :</w:t>
      </w:r>
      <w:r>
        <w:rPr>
          <w:lang w:val="fr-FR"/>
        </w:rPr>
        <w:t xml:space="preserve"> Règlement (UE) 2024/1689, art. 50, § 4 et art. 113</w:t>
      </w:r>
      <w:r w:rsidR="004407A9">
        <w:rPr>
          <w:lang w:val="fr-FR"/>
        </w:rPr>
        <w:t> ;</w:t>
      </w:r>
      <w:r>
        <w:rPr>
          <w:lang w:val="fr-FR"/>
        </w:rPr>
        <w:t xml:space="preserve"> lignes directrices et FAQ de la Commission européenne, mises à jour en juillet 2026.</w:t>
      </w:r>
    </w:p>
    <w:p w14:paraId="2F735AB6" w14:textId="77777777" w:rsidR="00734B01" w:rsidRPr="000E1C6E" w:rsidRDefault="00734B01" w:rsidP="009111AC">
      <w:pPr>
        <w:pStyle w:val="Titre2"/>
      </w:pPr>
      <w:r>
        <w:t>6.2. Exception de contrôle humain ou éditorial</w:t>
      </w:r>
    </w:p>
    <w:tbl>
      <w:tblPr>
        <w:tblStyle w:val="TableauGrille4-Accentuation2"/>
        <w:tblW w:w="0" w:type="auto"/>
        <w:tblLook w:val="04A0" w:firstRow="1" w:lastRow="0" w:firstColumn="1" w:lastColumn="0" w:noHBand="0" w:noVBand="1"/>
      </w:tblPr>
      <w:tblGrid>
        <w:gridCol w:w="2689"/>
        <w:gridCol w:w="7767"/>
      </w:tblGrid>
      <w:tr w:rsidR="00734B01" w:rsidRPr="004407A9" w14:paraId="02C30055"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76BD2A1"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Élément</w:t>
            </w:r>
          </w:p>
        </w:tc>
        <w:tc>
          <w:tcPr>
            <w:tcW w:w="7767" w:type="dxa"/>
          </w:tcPr>
          <w:p w14:paraId="7E7C5482"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Exigence de la Commission</w:t>
            </w:r>
          </w:p>
        </w:tc>
      </w:tr>
      <w:tr w:rsidR="00734B01" w:rsidRPr="004407A9" w14:paraId="010E6C14"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DF06F29" w14:textId="77777777" w:rsidR="00734B01" w:rsidRPr="004407A9" w:rsidRDefault="00734B01" w:rsidP="004407A9">
            <w:pPr>
              <w:jc w:val="left"/>
              <w:rPr>
                <w:rFonts w:ascii="Calibri" w:hAnsi="Calibri" w:cs="Calibri"/>
                <w:sz w:val="20"/>
              </w:rPr>
            </w:pPr>
            <w:r w:rsidRPr="004407A9">
              <w:rPr>
                <w:rFonts w:ascii="Calibri" w:hAnsi="Calibri" w:cs="Calibri"/>
                <w:sz w:val="20"/>
              </w:rPr>
              <w:t>Relecture humaine</w:t>
            </w:r>
          </w:p>
        </w:tc>
        <w:tc>
          <w:tcPr>
            <w:tcW w:w="7767" w:type="dxa"/>
          </w:tcPr>
          <w:p w14:paraId="5BE526CD" w14:textId="77777777"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Examen délibéré du fond par une ou plusieurs personnes physiques disposant des connaissances pertinentes et d’un jugement professionnel sur le sujet.</w:t>
            </w:r>
          </w:p>
        </w:tc>
      </w:tr>
      <w:tr w:rsidR="00734B01" w:rsidRPr="004407A9" w14:paraId="3E70D880" w14:textId="77777777" w:rsidTr="009111AC">
        <w:tc>
          <w:tcPr>
            <w:cnfStyle w:val="001000000000" w:firstRow="0" w:lastRow="0" w:firstColumn="1" w:lastColumn="0" w:oddVBand="0" w:evenVBand="0" w:oddHBand="0" w:evenHBand="0" w:firstRowFirstColumn="0" w:firstRowLastColumn="0" w:lastRowFirstColumn="0" w:lastRowLastColumn="0"/>
            <w:tcW w:w="2689" w:type="dxa"/>
          </w:tcPr>
          <w:p w14:paraId="2154FA6F" w14:textId="77777777" w:rsidR="00734B01" w:rsidRPr="004407A9" w:rsidRDefault="00734B01" w:rsidP="004407A9">
            <w:pPr>
              <w:jc w:val="left"/>
              <w:rPr>
                <w:rFonts w:ascii="Calibri" w:hAnsi="Calibri" w:cs="Calibri"/>
                <w:sz w:val="20"/>
              </w:rPr>
            </w:pPr>
            <w:r w:rsidRPr="004407A9">
              <w:rPr>
                <w:rFonts w:ascii="Calibri" w:hAnsi="Calibri" w:cs="Calibri"/>
                <w:sz w:val="20"/>
              </w:rPr>
              <w:t>Contrôle éditorial</w:t>
            </w:r>
          </w:p>
        </w:tc>
        <w:tc>
          <w:tcPr>
            <w:tcW w:w="7767" w:type="dxa"/>
          </w:tcPr>
          <w:p w14:paraId="54182C85"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Contrôle réellement exercé par une entité responsable ayant le pouvoir d’approuver, de modifier ou de rejeter le fond du texte, notamment après vérification des faits et de la fiabilité des sources.</w:t>
            </w:r>
          </w:p>
        </w:tc>
      </w:tr>
      <w:tr w:rsidR="00734B01" w:rsidRPr="004407A9" w14:paraId="2B2A9461"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A2E7122" w14:textId="77777777" w:rsidR="00734B01" w:rsidRPr="004407A9" w:rsidRDefault="00734B01" w:rsidP="004407A9">
            <w:pPr>
              <w:jc w:val="left"/>
              <w:rPr>
                <w:rFonts w:ascii="Calibri" w:hAnsi="Calibri" w:cs="Calibri"/>
                <w:sz w:val="20"/>
              </w:rPr>
            </w:pPr>
            <w:r w:rsidRPr="004407A9">
              <w:rPr>
                <w:rFonts w:ascii="Calibri" w:hAnsi="Calibri" w:cs="Calibri"/>
                <w:sz w:val="20"/>
              </w:rPr>
              <w:t>Contrôles insuffisants</w:t>
            </w:r>
          </w:p>
        </w:tc>
        <w:tc>
          <w:tcPr>
            <w:tcW w:w="7767" w:type="dxa"/>
          </w:tcPr>
          <w:p w14:paraId="32B6D588" w14:textId="2DB3A54D"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Correction orthographique, grammaticale, typographique ou de mise en page</w:t>
            </w:r>
            <w:r w:rsidR="004407A9" w:rsidRPr="004407A9">
              <w:rPr>
                <w:rFonts w:ascii="Calibri" w:hAnsi="Calibri" w:cs="Calibri"/>
                <w:sz w:val="20"/>
              </w:rPr>
              <w:t> ;</w:t>
            </w:r>
            <w:r w:rsidRPr="004407A9">
              <w:rPr>
                <w:rFonts w:ascii="Calibri" w:hAnsi="Calibri" w:cs="Calibri"/>
                <w:sz w:val="20"/>
              </w:rPr>
              <w:t xml:space="preserve"> conformité à un gabarit</w:t>
            </w:r>
            <w:r w:rsidR="004407A9" w:rsidRPr="004407A9">
              <w:rPr>
                <w:rFonts w:ascii="Calibri" w:hAnsi="Calibri" w:cs="Calibri"/>
                <w:sz w:val="20"/>
              </w:rPr>
              <w:t> ;</w:t>
            </w:r>
            <w:r w:rsidRPr="004407A9">
              <w:rPr>
                <w:rFonts w:ascii="Calibri" w:hAnsi="Calibri" w:cs="Calibri"/>
                <w:sz w:val="20"/>
              </w:rPr>
              <w:t xml:space="preserve"> validation purement procédurale</w:t>
            </w:r>
            <w:r w:rsidR="004407A9" w:rsidRPr="004407A9">
              <w:rPr>
                <w:rFonts w:ascii="Calibri" w:hAnsi="Calibri" w:cs="Calibri"/>
                <w:sz w:val="20"/>
              </w:rPr>
              <w:t> ;</w:t>
            </w:r>
            <w:r w:rsidRPr="004407A9">
              <w:rPr>
                <w:rFonts w:ascii="Calibri" w:hAnsi="Calibri" w:cs="Calibri"/>
                <w:sz w:val="20"/>
              </w:rPr>
              <w:t xml:space="preserve"> lecture rapide sans examen du fond.</w:t>
            </w:r>
          </w:p>
        </w:tc>
      </w:tr>
      <w:tr w:rsidR="00734B01" w:rsidRPr="004407A9" w14:paraId="59B39B8A" w14:textId="77777777" w:rsidTr="009111AC">
        <w:tc>
          <w:tcPr>
            <w:cnfStyle w:val="001000000000" w:firstRow="0" w:lastRow="0" w:firstColumn="1" w:lastColumn="0" w:oddVBand="0" w:evenVBand="0" w:oddHBand="0" w:evenHBand="0" w:firstRowFirstColumn="0" w:firstRowLastColumn="0" w:lastRowFirstColumn="0" w:lastRowLastColumn="0"/>
            <w:tcW w:w="2689" w:type="dxa"/>
          </w:tcPr>
          <w:p w14:paraId="1B8B1C24" w14:textId="77777777" w:rsidR="00734B01" w:rsidRPr="004407A9" w:rsidRDefault="00734B01" w:rsidP="004407A9">
            <w:pPr>
              <w:jc w:val="left"/>
              <w:rPr>
                <w:rFonts w:ascii="Calibri" w:hAnsi="Calibri" w:cs="Calibri"/>
                <w:sz w:val="20"/>
              </w:rPr>
            </w:pPr>
            <w:r w:rsidRPr="004407A9">
              <w:rPr>
                <w:rFonts w:ascii="Calibri" w:hAnsi="Calibri" w:cs="Calibri"/>
                <w:sz w:val="20"/>
              </w:rPr>
              <w:t>Responsabilité éditoriale</w:t>
            </w:r>
          </w:p>
        </w:tc>
        <w:tc>
          <w:tcPr>
            <w:tcW w:w="7767" w:type="dxa"/>
          </w:tcPr>
          <w:p w14:paraId="42C34ED2"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Une personne physique ou morale doit assumer la responsabilité juridique ultime de la publication, y compris du processus de contrôle.</w:t>
            </w:r>
          </w:p>
        </w:tc>
      </w:tr>
    </w:tbl>
    <w:p w14:paraId="5A62E163" w14:textId="77777777" w:rsidR="00734B01" w:rsidRPr="000E1C6E" w:rsidRDefault="00734B01" w:rsidP="004407A9">
      <w:pPr>
        <w:spacing w:after="0" w:line="240" w:lineRule="auto"/>
      </w:pPr>
    </w:p>
    <w:p w14:paraId="1E6D6E28" w14:textId="77777777" w:rsidR="00734B01" w:rsidRPr="000E1C6E" w:rsidRDefault="00734B01" w:rsidP="004407A9">
      <w:pPr>
        <w:spacing w:after="0" w:line="240" w:lineRule="auto"/>
      </w:pPr>
      <w:r>
        <w:t>Lorsque ces conditions sont réunies, le texte n’a pas à être étiqueté au titre de l’article 50, paragraphe 4. Le règlement n’impose pas littéralement une signature nominative et datée visible. En revanche, l’identité du relecteur, la date, la version et la décision finale constituent une preuve de gouvernance fortement recommandée.</w:t>
      </w:r>
    </w:p>
    <w:p w14:paraId="6727AA2E" w14:textId="754999A4" w:rsidR="00734B01" w:rsidRPr="000E1C6E" w:rsidRDefault="00734B01" w:rsidP="009111AC">
      <w:pPr>
        <w:pStyle w:val="Titre2"/>
      </w:pPr>
      <w:r>
        <w:t>6.3. Conséquence pour la revendication d’</w:t>
      </w:r>
      <w:r w:rsidR="006D425B">
        <w:t xml:space="preserve"> «autorat»</w:t>
      </w:r>
    </w:p>
    <w:p w14:paraId="77B882A5" w14:textId="2DFC73BB" w:rsidR="00734B01" w:rsidRPr="000E1C6E" w:rsidRDefault="00734B01" w:rsidP="004407A9">
      <w:pPr>
        <w:spacing w:after="0" w:line="240" w:lineRule="auto"/>
      </w:pPr>
      <w:r>
        <w:t>Une relecture substantielle et une responsabilité éditoriale peuvent dispenser d’un étiquetage</w:t>
      </w:r>
      <w:r w:rsidR="004407A9">
        <w:t> ;</w:t>
      </w:r>
      <w:r>
        <w:t xml:space="preserve"> elles ne suffisent pas nécessairement à conférer la qualité d’auteur. Un relecteur peut corriger des erreurs de fond et assumer la </w:t>
      </w:r>
      <w:r>
        <w:lastRenderedPageBreak/>
        <w:t>publication sans avoir créé l’expression originale. À l’inverse, un auteur humain peut devoir signaler l’usage de l’IA si les conditions de l’article 50 sont réunies et qu’aucune exception ne s’applique.</w:t>
      </w:r>
    </w:p>
    <w:p w14:paraId="7C78EF45" w14:textId="77777777" w:rsidR="00734B01" w:rsidRDefault="00734B01" w:rsidP="009111AC">
      <w:pPr>
        <w:pStyle w:val="Titre2"/>
      </w:pPr>
      <w:r>
        <w:t>6.4. Modèles de mentions</w:t>
      </w:r>
    </w:p>
    <w:tbl>
      <w:tblPr>
        <w:tblStyle w:val="TableauGrille4-Accentuation2"/>
        <w:tblW w:w="0" w:type="auto"/>
        <w:tblLook w:val="04A0" w:firstRow="1" w:lastRow="0" w:firstColumn="1" w:lastColumn="0" w:noHBand="0" w:noVBand="1"/>
      </w:tblPr>
      <w:tblGrid>
        <w:gridCol w:w="4598"/>
        <w:gridCol w:w="5858"/>
      </w:tblGrid>
      <w:tr w:rsidR="00734B01" w:rsidRPr="004407A9" w14:paraId="3FF53ECC" w14:textId="77777777" w:rsidTr="009111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86" w:type="dxa"/>
          </w:tcPr>
          <w:p w14:paraId="468029AB" w14:textId="77777777" w:rsidR="00734B01" w:rsidRPr="004407A9" w:rsidRDefault="00734B01" w:rsidP="004407A9">
            <w:pPr>
              <w:jc w:val="left"/>
              <w:rPr>
                <w:rFonts w:ascii="Calibri" w:hAnsi="Calibri" w:cs="Calibri"/>
                <w:sz w:val="20"/>
              </w:rPr>
            </w:pPr>
            <w:r w:rsidRPr="004407A9">
              <w:rPr>
                <w:rFonts w:ascii="Calibri" w:hAnsi="Calibri" w:cs="Calibri"/>
                <w:color w:val="FFFFFF"/>
                <w:sz w:val="20"/>
              </w:rPr>
              <w:t>Situation</w:t>
            </w:r>
          </w:p>
        </w:tc>
        <w:tc>
          <w:tcPr>
            <w:tcW w:w="4986" w:type="dxa"/>
          </w:tcPr>
          <w:p w14:paraId="3DCB6BD9" w14:textId="77777777" w:rsidR="00734B01" w:rsidRPr="004407A9" w:rsidRDefault="00734B01" w:rsidP="004407A9">
            <w:pPr>
              <w:jc w:val="left"/>
              <w:cnfStyle w:val="100000000000" w:firstRow="1"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color w:val="FFFFFF"/>
                <w:sz w:val="20"/>
              </w:rPr>
              <w:t>Mention possible</w:t>
            </w:r>
          </w:p>
        </w:tc>
      </w:tr>
      <w:tr w:rsidR="00734B01" w:rsidRPr="004407A9" w14:paraId="44628300"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3E76DF37" w14:textId="77777777" w:rsidR="00734B01" w:rsidRPr="004407A9" w:rsidRDefault="00734B01" w:rsidP="004407A9">
            <w:pPr>
              <w:jc w:val="left"/>
              <w:rPr>
                <w:rFonts w:ascii="Calibri" w:hAnsi="Calibri" w:cs="Calibri"/>
                <w:sz w:val="20"/>
              </w:rPr>
            </w:pPr>
            <w:r w:rsidRPr="004407A9">
              <w:rPr>
                <w:rFonts w:ascii="Calibri" w:hAnsi="Calibri" w:cs="Calibri"/>
                <w:sz w:val="20"/>
              </w:rPr>
              <w:t>Texte soumis à l’étiquetage</w:t>
            </w:r>
          </w:p>
        </w:tc>
        <w:tc>
          <w:tcPr>
            <w:tcW w:w="6350" w:type="dxa"/>
          </w:tcPr>
          <w:p w14:paraId="715E2947" w14:textId="2C54C036" w:rsidR="00734B01" w:rsidRPr="004407A9" w:rsidRDefault="004407A9"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 </w:t>
            </w:r>
            <w:r w:rsidR="00734B01" w:rsidRPr="004407A9">
              <w:rPr>
                <w:rFonts w:ascii="Calibri" w:hAnsi="Calibri" w:cs="Calibri"/>
                <w:sz w:val="20"/>
              </w:rPr>
              <w:t>Ce texte a été généré ou substantiellement manipulé au moyen d’un système d’intelligence artificielle.</w:t>
            </w:r>
            <w:r w:rsidRPr="004407A9">
              <w:rPr>
                <w:rFonts w:ascii="Calibri" w:hAnsi="Calibri" w:cs="Calibri"/>
                <w:sz w:val="20"/>
              </w:rPr>
              <w:t> »</w:t>
            </w:r>
          </w:p>
        </w:tc>
      </w:tr>
      <w:tr w:rsidR="00734B01" w:rsidRPr="004407A9" w14:paraId="6BBB7A3F" w14:textId="77777777" w:rsidTr="009111AC">
        <w:tc>
          <w:tcPr>
            <w:cnfStyle w:val="001000000000" w:firstRow="0" w:lastRow="0" w:firstColumn="1" w:lastColumn="0" w:oddVBand="0" w:evenVBand="0" w:oddHBand="0" w:evenHBand="0" w:firstRowFirstColumn="0" w:firstRowLastColumn="0" w:lastRowFirstColumn="0" w:lastRowLastColumn="0"/>
            <w:tcW w:w="2835" w:type="dxa"/>
          </w:tcPr>
          <w:p w14:paraId="12487ABC" w14:textId="77777777" w:rsidR="00734B01" w:rsidRPr="004407A9" w:rsidRDefault="00734B01" w:rsidP="004407A9">
            <w:pPr>
              <w:jc w:val="left"/>
              <w:rPr>
                <w:rFonts w:ascii="Calibri" w:hAnsi="Calibri" w:cs="Calibri"/>
                <w:sz w:val="20"/>
              </w:rPr>
            </w:pPr>
            <w:r w:rsidRPr="004407A9">
              <w:rPr>
                <w:rFonts w:ascii="Calibri" w:hAnsi="Calibri" w:cs="Calibri"/>
                <w:sz w:val="20"/>
              </w:rPr>
              <w:t>Assistance limitée mais transparence volontaire</w:t>
            </w:r>
          </w:p>
        </w:tc>
        <w:tc>
          <w:tcPr>
            <w:tcW w:w="6350" w:type="dxa"/>
          </w:tcPr>
          <w:p w14:paraId="019928B6" w14:textId="2935DBF1" w:rsidR="00734B01" w:rsidRPr="004407A9" w:rsidRDefault="004407A9"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 </w:t>
            </w:r>
            <w:r w:rsidR="00734B01" w:rsidRPr="004407A9">
              <w:rPr>
                <w:rFonts w:ascii="Calibri" w:hAnsi="Calibri" w:cs="Calibri"/>
                <w:sz w:val="20"/>
              </w:rPr>
              <w:t>L’intelligence artificielle a été utilisée pour [fonction précise]. La conception, la vérification des sources et la rédaction finale ont été assurées par [nom].</w:t>
            </w:r>
            <w:r w:rsidRPr="004407A9">
              <w:rPr>
                <w:rFonts w:ascii="Calibri" w:hAnsi="Calibri" w:cs="Calibri"/>
                <w:sz w:val="20"/>
              </w:rPr>
              <w:t> »</w:t>
            </w:r>
          </w:p>
        </w:tc>
      </w:tr>
      <w:tr w:rsidR="00734B01" w:rsidRPr="004407A9" w14:paraId="1CE17BC9" w14:textId="77777777" w:rsidTr="009111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124DC292" w14:textId="77777777" w:rsidR="00734B01" w:rsidRPr="004407A9" w:rsidRDefault="00734B01" w:rsidP="004407A9">
            <w:pPr>
              <w:jc w:val="left"/>
              <w:rPr>
                <w:rFonts w:ascii="Calibri" w:hAnsi="Calibri" w:cs="Calibri"/>
                <w:sz w:val="20"/>
              </w:rPr>
            </w:pPr>
            <w:r w:rsidRPr="004407A9">
              <w:rPr>
                <w:rFonts w:ascii="Calibri" w:hAnsi="Calibri" w:cs="Calibri"/>
                <w:sz w:val="20"/>
              </w:rPr>
              <w:t>Contrôle humain substantiel documenté</w:t>
            </w:r>
          </w:p>
        </w:tc>
        <w:tc>
          <w:tcPr>
            <w:tcW w:w="6350" w:type="dxa"/>
          </w:tcPr>
          <w:p w14:paraId="4C2E0779" w14:textId="4F7D96AB" w:rsidR="00734B01" w:rsidRPr="004407A9" w:rsidRDefault="00734B01" w:rsidP="004407A9">
            <w:pPr>
              <w:jc w:val="left"/>
              <w:cnfStyle w:val="000000100000" w:firstRow="0" w:lastRow="0" w:firstColumn="0" w:lastColumn="0" w:oddVBand="0" w:evenVBand="0" w:oddHBand="1" w:evenHBand="0" w:firstRowFirstColumn="0" w:firstRowLastColumn="0" w:lastRowFirstColumn="0" w:lastRowLastColumn="0"/>
              <w:rPr>
                <w:rFonts w:ascii="Calibri" w:hAnsi="Calibri" w:cs="Calibri"/>
                <w:sz w:val="20"/>
              </w:rPr>
            </w:pPr>
            <w:r w:rsidRPr="004407A9">
              <w:rPr>
                <w:rFonts w:ascii="Calibri" w:hAnsi="Calibri" w:cs="Calibri"/>
                <w:sz w:val="20"/>
              </w:rPr>
              <w:t>Pas de mention publique imposée par l’article 50</w:t>
            </w:r>
            <w:r w:rsidR="004407A9" w:rsidRPr="004407A9">
              <w:rPr>
                <w:rFonts w:ascii="Calibri" w:hAnsi="Calibri" w:cs="Calibri"/>
                <w:sz w:val="20"/>
              </w:rPr>
              <w:t> ;</w:t>
            </w:r>
            <w:r w:rsidRPr="004407A9">
              <w:rPr>
                <w:rFonts w:ascii="Calibri" w:hAnsi="Calibri" w:cs="Calibri"/>
                <w:sz w:val="20"/>
              </w:rPr>
              <w:t xml:space="preserve"> conserver une fiche interne de contrôle et de responsabilité éditoriale.</w:t>
            </w:r>
          </w:p>
        </w:tc>
      </w:tr>
      <w:tr w:rsidR="00734B01" w:rsidRPr="004407A9" w14:paraId="5D362FC7" w14:textId="77777777" w:rsidTr="009111AC">
        <w:tc>
          <w:tcPr>
            <w:cnfStyle w:val="001000000000" w:firstRow="0" w:lastRow="0" w:firstColumn="1" w:lastColumn="0" w:oddVBand="0" w:evenVBand="0" w:oddHBand="0" w:evenHBand="0" w:firstRowFirstColumn="0" w:firstRowLastColumn="0" w:lastRowFirstColumn="0" w:lastRowLastColumn="0"/>
            <w:tcW w:w="2835" w:type="dxa"/>
          </w:tcPr>
          <w:p w14:paraId="115684CC" w14:textId="77777777" w:rsidR="00734B01" w:rsidRPr="004407A9" w:rsidRDefault="00734B01" w:rsidP="004407A9">
            <w:pPr>
              <w:jc w:val="left"/>
              <w:rPr>
                <w:rFonts w:ascii="Calibri" w:hAnsi="Calibri" w:cs="Calibri"/>
                <w:sz w:val="20"/>
              </w:rPr>
            </w:pPr>
            <w:r w:rsidRPr="004407A9">
              <w:rPr>
                <w:rFonts w:ascii="Calibri" w:hAnsi="Calibri" w:cs="Calibri"/>
                <w:sz w:val="20"/>
              </w:rPr>
              <w:t>Règle académique ou contractuelle plus stricte</w:t>
            </w:r>
          </w:p>
        </w:tc>
        <w:tc>
          <w:tcPr>
            <w:tcW w:w="6350" w:type="dxa"/>
          </w:tcPr>
          <w:p w14:paraId="3F31311E" w14:textId="77777777" w:rsidR="00734B01" w:rsidRPr="004407A9" w:rsidRDefault="00734B01" w:rsidP="004407A9">
            <w:pPr>
              <w:jc w:val="left"/>
              <w:cnfStyle w:val="000000000000" w:firstRow="0" w:lastRow="0" w:firstColumn="0" w:lastColumn="0" w:oddVBand="0" w:evenVBand="0" w:oddHBand="0" w:evenHBand="0" w:firstRowFirstColumn="0" w:firstRowLastColumn="0" w:lastRowFirstColumn="0" w:lastRowLastColumn="0"/>
              <w:rPr>
                <w:rFonts w:ascii="Calibri" w:hAnsi="Calibri" w:cs="Calibri"/>
                <w:sz w:val="20"/>
              </w:rPr>
            </w:pPr>
            <w:r w:rsidRPr="004407A9">
              <w:rPr>
                <w:rFonts w:ascii="Calibri" w:hAnsi="Calibri" w:cs="Calibri"/>
                <w:sz w:val="20"/>
              </w:rPr>
              <w:t>Appliquer la mention exigée par l’établissement, l’éditeur, le client ou l’employeur, même si l’article 50 ne l’impose pas.</w:t>
            </w:r>
          </w:p>
        </w:tc>
      </w:tr>
    </w:tbl>
    <w:p w14:paraId="02D3C402" w14:textId="77777777" w:rsidR="00734B01" w:rsidRPr="000E1C6E" w:rsidRDefault="00734B01" w:rsidP="004407A9">
      <w:pPr>
        <w:spacing w:after="0" w:line="240" w:lineRule="auto"/>
      </w:pPr>
    </w:p>
    <w:p w14:paraId="3049833D" w14:textId="5ABD6E56" w:rsidR="00734B01" w:rsidRPr="000E1C6E" w:rsidRDefault="00734B01" w:rsidP="00E52BD2">
      <w:pPr>
        <w:pStyle w:val="Titre1"/>
      </w:pPr>
      <w:bookmarkStart w:id="6" w:name="preuve"/>
      <w:bookmarkStart w:id="7" w:name="references"/>
      <w:bookmarkEnd w:id="6"/>
      <w:bookmarkEnd w:id="7"/>
      <w:r>
        <w:t>7. Sources officielles</w:t>
      </w:r>
    </w:p>
    <w:p w14:paraId="0F3C7EE6" w14:textId="77777777" w:rsidR="00734B01" w:rsidRPr="000E1C6E" w:rsidRDefault="00734B01" w:rsidP="004407A9">
      <w:pPr>
        <w:pStyle w:val="LegalBase"/>
        <w:spacing w:after="0" w:line="240" w:lineRule="auto"/>
        <w:jc w:val="both"/>
        <w:rPr>
          <w:lang w:val="fr-FR"/>
        </w:rPr>
      </w:pPr>
      <w:r>
        <w:rPr>
          <w:lang w:val="fr-FR"/>
        </w:rPr>
        <w:t>Les références suivantes sont les textes et décisions utilisés pour établir la présente fiche. Les liens sont cliquables dans la version Word.</w:t>
      </w:r>
    </w:p>
    <w:p w14:paraId="1EDCF8D3" w14:textId="6F9ABED1" w:rsidR="00734B01" w:rsidRPr="000E1C6E" w:rsidRDefault="00734B01" w:rsidP="004407A9">
      <w:pPr>
        <w:spacing w:after="0" w:line="240" w:lineRule="auto"/>
        <w:ind w:left="142"/>
      </w:pPr>
      <w:hyperlink r:id="rId7">
        <w:r w:rsidRPr="000E1C6E">
          <w:rPr>
            <w:color w:val="0563C1"/>
            <w:u w:val="single"/>
          </w:rPr>
          <w:t xml:space="preserve">S1 </w:t>
        </w:r>
        <w:r>
          <w:rPr>
            <w:color w:val="0563C1"/>
            <w:u w:val="single"/>
          </w:rPr>
          <w:t>-</w:t>
        </w:r>
        <w:r w:rsidRPr="000E1C6E">
          <w:rPr>
            <w:color w:val="0563C1"/>
            <w:u w:val="single"/>
          </w:rPr>
          <w:t xml:space="preserve"> Code de la propriété intellectuelle, art. L. 111-1</w:t>
        </w:r>
      </w:hyperlink>
    </w:p>
    <w:p w14:paraId="1E428421" w14:textId="2CAFD7AC" w:rsidR="00734B01" w:rsidRPr="000E1C6E" w:rsidRDefault="00734B01" w:rsidP="004407A9">
      <w:pPr>
        <w:spacing w:after="0" w:line="240" w:lineRule="auto"/>
        <w:ind w:left="142"/>
      </w:pPr>
      <w:hyperlink r:id="rId8">
        <w:r w:rsidRPr="000E1C6E">
          <w:rPr>
            <w:color w:val="0563C1"/>
            <w:u w:val="single"/>
          </w:rPr>
          <w:t xml:space="preserve">S2 </w:t>
        </w:r>
        <w:r>
          <w:rPr>
            <w:color w:val="0563C1"/>
            <w:u w:val="single"/>
          </w:rPr>
          <w:t>-</w:t>
        </w:r>
        <w:r w:rsidRPr="000E1C6E">
          <w:rPr>
            <w:color w:val="0563C1"/>
            <w:u w:val="single"/>
          </w:rPr>
          <w:t xml:space="preserve"> Code de la propriété intellectuelle, art. L. 112-1</w:t>
        </w:r>
      </w:hyperlink>
    </w:p>
    <w:p w14:paraId="78D3B8C8" w14:textId="01117A58" w:rsidR="00734B01" w:rsidRPr="000E1C6E" w:rsidRDefault="00734B01" w:rsidP="004407A9">
      <w:pPr>
        <w:spacing w:after="0" w:line="240" w:lineRule="auto"/>
        <w:ind w:left="142"/>
      </w:pPr>
      <w:hyperlink r:id="rId9">
        <w:r w:rsidRPr="000E1C6E">
          <w:rPr>
            <w:color w:val="0563C1"/>
            <w:u w:val="single"/>
          </w:rPr>
          <w:t xml:space="preserve">S3 </w:t>
        </w:r>
        <w:r>
          <w:rPr>
            <w:color w:val="0563C1"/>
            <w:u w:val="single"/>
          </w:rPr>
          <w:t>-</w:t>
        </w:r>
        <w:r w:rsidRPr="000E1C6E">
          <w:rPr>
            <w:color w:val="0563C1"/>
            <w:u w:val="single"/>
          </w:rPr>
          <w:t xml:space="preserve"> Code de la propriété intellectuelle, art. L. 113-1</w:t>
        </w:r>
      </w:hyperlink>
    </w:p>
    <w:p w14:paraId="6D64C5D7" w14:textId="0BFA0B02" w:rsidR="00734B01" w:rsidRPr="000E1C6E" w:rsidRDefault="00734B01" w:rsidP="004407A9">
      <w:pPr>
        <w:spacing w:after="0" w:line="240" w:lineRule="auto"/>
        <w:ind w:left="142"/>
      </w:pPr>
      <w:hyperlink r:id="rId10">
        <w:r w:rsidRPr="000E1C6E">
          <w:rPr>
            <w:color w:val="0563C1"/>
            <w:u w:val="single"/>
          </w:rPr>
          <w:t xml:space="preserve">S4 </w:t>
        </w:r>
        <w:r>
          <w:rPr>
            <w:color w:val="0563C1"/>
            <w:u w:val="single"/>
          </w:rPr>
          <w:t>-</w:t>
        </w:r>
        <w:r w:rsidRPr="000E1C6E">
          <w:rPr>
            <w:color w:val="0563C1"/>
            <w:u w:val="single"/>
          </w:rPr>
          <w:t xml:space="preserve"> Code de la propriété intellectuelle, art. L. 121-1</w:t>
        </w:r>
      </w:hyperlink>
    </w:p>
    <w:p w14:paraId="4E06CC9B" w14:textId="14ECFC3B" w:rsidR="00734B01" w:rsidRPr="000E1C6E" w:rsidRDefault="00734B01" w:rsidP="004407A9">
      <w:pPr>
        <w:spacing w:after="0" w:line="240" w:lineRule="auto"/>
        <w:ind w:left="142"/>
      </w:pPr>
      <w:hyperlink r:id="rId11">
        <w:r w:rsidRPr="000E1C6E">
          <w:rPr>
            <w:color w:val="0563C1"/>
            <w:u w:val="single"/>
          </w:rPr>
          <w:t xml:space="preserve">S5 </w:t>
        </w:r>
        <w:r>
          <w:rPr>
            <w:color w:val="0563C1"/>
            <w:u w:val="single"/>
          </w:rPr>
          <w:t>-</w:t>
        </w:r>
        <w:r w:rsidRPr="000E1C6E">
          <w:rPr>
            <w:color w:val="0563C1"/>
            <w:u w:val="single"/>
          </w:rPr>
          <w:t xml:space="preserve"> Code de la propriété intellectuelle, art. L. 122-4</w:t>
        </w:r>
      </w:hyperlink>
    </w:p>
    <w:p w14:paraId="75E427C1" w14:textId="0F13ADEF" w:rsidR="00734B01" w:rsidRPr="000E1C6E" w:rsidRDefault="00734B01" w:rsidP="004407A9">
      <w:pPr>
        <w:spacing w:after="0" w:line="240" w:lineRule="auto"/>
        <w:ind w:left="142"/>
      </w:pPr>
      <w:hyperlink r:id="rId12">
        <w:r w:rsidRPr="000E1C6E">
          <w:rPr>
            <w:color w:val="0563C1"/>
            <w:u w:val="single"/>
          </w:rPr>
          <w:t xml:space="preserve">S6 </w:t>
        </w:r>
        <w:r>
          <w:rPr>
            <w:color w:val="0563C1"/>
            <w:u w:val="single"/>
          </w:rPr>
          <w:t>-</w:t>
        </w:r>
        <w:r w:rsidRPr="000E1C6E">
          <w:rPr>
            <w:color w:val="0563C1"/>
            <w:u w:val="single"/>
          </w:rPr>
          <w:t xml:space="preserve"> Code de la propriété intellectuelle, art. L. 122-5</w:t>
        </w:r>
      </w:hyperlink>
    </w:p>
    <w:p w14:paraId="4CD601F6" w14:textId="1EF50ABA" w:rsidR="00734B01" w:rsidRPr="000E1C6E" w:rsidRDefault="00734B01" w:rsidP="004407A9">
      <w:pPr>
        <w:spacing w:after="0" w:line="240" w:lineRule="auto"/>
        <w:ind w:left="142"/>
      </w:pPr>
      <w:hyperlink r:id="rId13">
        <w:r w:rsidRPr="000E1C6E">
          <w:rPr>
            <w:color w:val="0563C1"/>
            <w:u w:val="single"/>
          </w:rPr>
          <w:t xml:space="preserve">S7 </w:t>
        </w:r>
        <w:r>
          <w:rPr>
            <w:color w:val="0563C1"/>
            <w:u w:val="single"/>
          </w:rPr>
          <w:t>-</w:t>
        </w:r>
        <w:r w:rsidRPr="000E1C6E">
          <w:rPr>
            <w:color w:val="0563C1"/>
            <w:u w:val="single"/>
          </w:rPr>
          <w:t xml:space="preserve"> Code de la propriété intellectuelle, art. L. 122-5-3</w:t>
        </w:r>
      </w:hyperlink>
    </w:p>
    <w:p w14:paraId="4916151B" w14:textId="2B9B8814" w:rsidR="00734B01" w:rsidRPr="000E1C6E" w:rsidRDefault="00734B01" w:rsidP="004407A9">
      <w:pPr>
        <w:spacing w:after="0" w:line="240" w:lineRule="auto"/>
        <w:ind w:left="142"/>
      </w:pPr>
      <w:hyperlink r:id="rId14">
        <w:r w:rsidRPr="000E1C6E">
          <w:rPr>
            <w:color w:val="0563C1"/>
            <w:u w:val="single"/>
          </w:rPr>
          <w:t xml:space="preserve">S8 </w:t>
        </w:r>
        <w:r>
          <w:rPr>
            <w:color w:val="0563C1"/>
            <w:u w:val="single"/>
          </w:rPr>
          <w:t>-</w:t>
        </w:r>
        <w:r w:rsidRPr="000E1C6E">
          <w:rPr>
            <w:color w:val="0563C1"/>
            <w:u w:val="single"/>
          </w:rPr>
          <w:t xml:space="preserve"> Code de la propriété intellectuelle, art. L. 131-3</w:t>
        </w:r>
      </w:hyperlink>
    </w:p>
    <w:p w14:paraId="6F34855F" w14:textId="4EB486D7" w:rsidR="00734B01" w:rsidRPr="000E1C6E" w:rsidRDefault="00734B01" w:rsidP="004407A9">
      <w:pPr>
        <w:spacing w:after="0" w:line="240" w:lineRule="auto"/>
        <w:ind w:left="142"/>
      </w:pPr>
      <w:hyperlink r:id="rId15">
        <w:r w:rsidRPr="000E1C6E">
          <w:rPr>
            <w:color w:val="0563C1"/>
            <w:u w:val="single"/>
          </w:rPr>
          <w:t xml:space="preserve">S9 </w:t>
        </w:r>
        <w:r>
          <w:rPr>
            <w:color w:val="0563C1"/>
            <w:u w:val="single"/>
          </w:rPr>
          <w:t>-</w:t>
        </w:r>
        <w:r w:rsidRPr="000E1C6E">
          <w:rPr>
            <w:color w:val="0563C1"/>
            <w:u w:val="single"/>
          </w:rPr>
          <w:t xml:space="preserve"> Code de la propriété intellectuelle, art. L. 335-2</w:t>
        </w:r>
      </w:hyperlink>
    </w:p>
    <w:p w14:paraId="4CED822D" w14:textId="36CD2394" w:rsidR="00734B01" w:rsidRPr="000E1C6E" w:rsidRDefault="00734B01" w:rsidP="004407A9">
      <w:pPr>
        <w:spacing w:after="0" w:line="240" w:lineRule="auto"/>
        <w:ind w:left="142"/>
      </w:pPr>
      <w:hyperlink r:id="rId16">
        <w:r w:rsidRPr="000E1C6E">
          <w:rPr>
            <w:color w:val="0563C1"/>
            <w:u w:val="single"/>
          </w:rPr>
          <w:t xml:space="preserve">S10 </w:t>
        </w:r>
        <w:r>
          <w:rPr>
            <w:color w:val="0563C1"/>
            <w:u w:val="single"/>
          </w:rPr>
          <w:t>-</w:t>
        </w:r>
        <w:r w:rsidRPr="000E1C6E">
          <w:rPr>
            <w:color w:val="0563C1"/>
            <w:u w:val="single"/>
          </w:rPr>
          <w:t xml:space="preserve"> Code de la propriété intellectuelle, art. L. 341-1</w:t>
        </w:r>
      </w:hyperlink>
    </w:p>
    <w:p w14:paraId="4EA7CB25" w14:textId="418149F6" w:rsidR="00734B01" w:rsidRPr="000E1C6E" w:rsidRDefault="00734B01" w:rsidP="004407A9">
      <w:pPr>
        <w:spacing w:after="0" w:line="240" w:lineRule="auto"/>
        <w:ind w:left="142"/>
      </w:pPr>
      <w:hyperlink r:id="rId17">
        <w:r w:rsidRPr="000E1C6E">
          <w:rPr>
            <w:color w:val="0563C1"/>
            <w:u w:val="single"/>
          </w:rPr>
          <w:t xml:space="preserve">S11 </w:t>
        </w:r>
        <w:r>
          <w:rPr>
            <w:color w:val="0563C1"/>
            <w:u w:val="single"/>
          </w:rPr>
          <w:t>-</w:t>
        </w:r>
        <w:r w:rsidRPr="000E1C6E">
          <w:rPr>
            <w:color w:val="0563C1"/>
            <w:u w:val="single"/>
          </w:rPr>
          <w:t xml:space="preserve"> Directive 2001/29/CE</w:t>
        </w:r>
      </w:hyperlink>
    </w:p>
    <w:p w14:paraId="16291945" w14:textId="37987933" w:rsidR="00734B01" w:rsidRPr="000E1C6E" w:rsidRDefault="00734B01" w:rsidP="004407A9">
      <w:pPr>
        <w:spacing w:after="0" w:line="240" w:lineRule="auto"/>
        <w:ind w:left="142"/>
      </w:pPr>
      <w:hyperlink r:id="rId18">
        <w:r w:rsidRPr="000E1C6E">
          <w:rPr>
            <w:color w:val="0563C1"/>
            <w:u w:val="single"/>
          </w:rPr>
          <w:t xml:space="preserve">S12 </w:t>
        </w:r>
        <w:r>
          <w:rPr>
            <w:color w:val="0563C1"/>
            <w:u w:val="single"/>
          </w:rPr>
          <w:t>-</w:t>
        </w:r>
        <w:r w:rsidRPr="000E1C6E">
          <w:rPr>
            <w:color w:val="0563C1"/>
            <w:u w:val="single"/>
          </w:rPr>
          <w:t xml:space="preserve"> Directive (UE) 2019/790</w:t>
        </w:r>
      </w:hyperlink>
    </w:p>
    <w:p w14:paraId="41BB22D7" w14:textId="7AF672B2" w:rsidR="00734B01" w:rsidRPr="000E1C6E" w:rsidRDefault="00734B01" w:rsidP="004407A9">
      <w:pPr>
        <w:spacing w:after="0" w:line="240" w:lineRule="auto"/>
        <w:ind w:left="142"/>
      </w:pPr>
      <w:hyperlink r:id="rId19">
        <w:r w:rsidRPr="000E1C6E">
          <w:rPr>
            <w:color w:val="0563C1"/>
            <w:u w:val="single"/>
          </w:rPr>
          <w:t xml:space="preserve">S13 </w:t>
        </w:r>
        <w:r>
          <w:rPr>
            <w:color w:val="0563C1"/>
            <w:u w:val="single"/>
          </w:rPr>
          <w:t>-</w:t>
        </w:r>
        <w:r w:rsidRPr="000E1C6E">
          <w:rPr>
            <w:color w:val="0563C1"/>
            <w:u w:val="single"/>
          </w:rPr>
          <w:t xml:space="preserve"> Règlement (UE) 2024/1689 sur l’intelligence artificielle</w:t>
        </w:r>
      </w:hyperlink>
    </w:p>
    <w:p w14:paraId="4334637A" w14:textId="68FF866D" w:rsidR="00734B01" w:rsidRPr="000E1C6E" w:rsidRDefault="00734B01" w:rsidP="004407A9">
      <w:pPr>
        <w:spacing w:after="0" w:line="240" w:lineRule="auto"/>
        <w:ind w:left="142"/>
      </w:pPr>
      <w:hyperlink r:id="rId20">
        <w:r w:rsidRPr="000E1C6E">
          <w:rPr>
            <w:color w:val="0563C1"/>
            <w:u w:val="single"/>
          </w:rPr>
          <w:t xml:space="preserve">S14 </w:t>
        </w:r>
        <w:r>
          <w:rPr>
            <w:color w:val="0563C1"/>
            <w:u w:val="single"/>
          </w:rPr>
          <w:t>-</w:t>
        </w:r>
        <w:r w:rsidRPr="000E1C6E">
          <w:rPr>
            <w:color w:val="0563C1"/>
            <w:u w:val="single"/>
          </w:rPr>
          <w:t xml:space="preserve"> Commission européenne, lignes directrices sur l’article 50</w:t>
        </w:r>
      </w:hyperlink>
    </w:p>
    <w:p w14:paraId="4BD92333" w14:textId="5D845DB9" w:rsidR="00734B01" w:rsidRPr="000E1C6E" w:rsidRDefault="00734B01" w:rsidP="004407A9">
      <w:pPr>
        <w:spacing w:after="0" w:line="240" w:lineRule="auto"/>
        <w:ind w:left="142"/>
      </w:pPr>
      <w:hyperlink r:id="rId21">
        <w:r w:rsidRPr="000E1C6E">
          <w:rPr>
            <w:color w:val="0563C1"/>
            <w:u w:val="single"/>
          </w:rPr>
          <w:t xml:space="preserve">S15 </w:t>
        </w:r>
        <w:r>
          <w:rPr>
            <w:color w:val="0563C1"/>
            <w:u w:val="single"/>
          </w:rPr>
          <w:t>-</w:t>
        </w:r>
        <w:r w:rsidRPr="000E1C6E">
          <w:rPr>
            <w:color w:val="0563C1"/>
            <w:u w:val="single"/>
          </w:rPr>
          <w:t xml:space="preserve"> Commission européenne, FAQ sur les obligations de transparence de l’article 50</w:t>
        </w:r>
      </w:hyperlink>
    </w:p>
    <w:p w14:paraId="64283A3C" w14:textId="0B6439CC" w:rsidR="00734B01" w:rsidRPr="000E1C6E" w:rsidRDefault="00734B01" w:rsidP="004407A9">
      <w:pPr>
        <w:spacing w:after="0" w:line="240" w:lineRule="auto"/>
        <w:ind w:left="142"/>
      </w:pPr>
      <w:hyperlink r:id="rId22">
        <w:r w:rsidRPr="000E1C6E">
          <w:rPr>
            <w:color w:val="0563C1"/>
            <w:u w:val="single"/>
          </w:rPr>
          <w:t xml:space="preserve">S16 </w:t>
        </w:r>
        <w:r>
          <w:rPr>
            <w:color w:val="0563C1"/>
            <w:u w:val="single"/>
          </w:rPr>
          <w:t>-</w:t>
        </w:r>
        <w:r w:rsidRPr="000E1C6E">
          <w:rPr>
            <w:color w:val="0563C1"/>
            <w:u w:val="single"/>
          </w:rPr>
          <w:t xml:space="preserve"> CJUE, 16 juillet 2009, Infopaq International, C-5/08</w:t>
        </w:r>
      </w:hyperlink>
    </w:p>
    <w:p w14:paraId="764F0069" w14:textId="5C694377" w:rsidR="00734B01" w:rsidRPr="000E1C6E" w:rsidRDefault="00734B01" w:rsidP="004407A9">
      <w:pPr>
        <w:spacing w:after="0" w:line="240" w:lineRule="auto"/>
        <w:ind w:left="142"/>
      </w:pPr>
      <w:hyperlink r:id="rId23">
        <w:r w:rsidRPr="000E1C6E">
          <w:rPr>
            <w:color w:val="0563C1"/>
            <w:u w:val="single"/>
          </w:rPr>
          <w:t xml:space="preserve">S17 </w:t>
        </w:r>
        <w:r>
          <w:rPr>
            <w:color w:val="0563C1"/>
            <w:u w:val="single"/>
          </w:rPr>
          <w:t>-</w:t>
        </w:r>
        <w:r w:rsidRPr="000E1C6E">
          <w:rPr>
            <w:color w:val="0563C1"/>
            <w:u w:val="single"/>
          </w:rPr>
          <w:t xml:space="preserve"> CJUE, 1er décembre 2011, Painer, C-145/10</w:t>
        </w:r>
      </w:hyperlink>
    </w:p>
    <w:p w14:paraId="4FCFBC92" w14:textId="478D7837" w:rsidR="00734B01" w:rsidRPr="00734B01" w:rsidRDefault="00734B01" w:rsidP="004407A9">
      <w:pPr>
        <w:spacing w:after="0" w:line="240" w:lineRule="auto"/>
        <w:ind w:left="142"/>
        <w:rPr>
          <w:lang w:val="en-GB"/>
        </w:rPr>
      </w:pPr>
      <w:hyperlink r:id="rId24">
        <w:r w:rsidRPr="00734B01">
          <w:rPr>
            <w:color w:val="0563C1"/>
            <w:u w:val="single"/>
            <w:lang w:val="en-GB"/>
          </w:rPr>
          <w:t xml:space="preserve">S18 </w:t>
        </w:r>
        <w:r>
          <w:rPr>
            <w:color w:val="0563C1"/>
            <w:u w:val="single"/>
            <w:lang w:val="en-GB"/>
          </w:rPr>
          <w:t>-</w:t>
        </w:r>
        <w:r w:rsidRPr="00734B01">
          <w:rPr>
            <w:color w:val="0563C1"/>
            <w:u w:val="single"/>
            <w:lang w:val="en-GB"/>
          </w:rPr>
          <w:t xml:space="preserve"> CJUE, 1er mars 2012, Football Dataco, C-604/10</w:t>
        </w:r>
      </w:hyperlink>
    </w:p>
    <w:p w14:paraId="6F8213C3" w14:textId="3D3262B5" w:rsidR="00734B01" w:rsidRPr="000E1C6E" w:rsidRDefault="00734B01" w:rsidP="004407A9">
      <w:pPr>
        <w:spacing w:after="0" w:line="240" w:lineRule="auto"/>
        <w:ind w:left="142"/>
        <w:rPr>
          <w:lang w:val="it-IT"/>
        </w:rPr>
      </w:pPr>
      <w:hyperlink r:id="rId25">
        <w:r w:rsidRPr="000E1C6E">
          <w:rPr>
            <w:color w:val="0563C1"/>
            <w:u w:val="single"/>
            <w:lang w:val="it-IT"/>
          </w:rPr>
          <w:t xml:space="preserve">S19 </w:t>
        </w:r>
        <w:r>
          <w:rPr>
            <w:color w:val="0563C1"/>
            <w:u w:val="single"/>
            <w:lang w:val="it-IT"/>
          </w:rPr>
          <w:t>-</w:t>
        </w:r>
        <w:r w:rsidRPr="000E1C6E">
          <w:rPr>
            <w:color w:val="0563C1"/>
            <w:u w:val="single"/>
            <w:lang w:val="it-IT"/>
          </w:rPr>
          <w:t xml:space="preserve"> CJUE, 13 novembre 2018, Levola Hengelo, C-310/17</w:t>
        </w:r>
      </w:hyperlink>
    </w:p>
    <w:p w14:paraId="6C3D212A" w14:textId="459353DD" w:rsidR="00734B01" w:rsidRPr="000E1C6E" w:rsidRDefault="00734B01" w:rsidP="004407A9">
      <w:pPr>
        <w:spacing w:after="0" w:line="240" w:lineRule="auto"/>
        <w:ind w:left="142"/>
      </w:pPr>
      <w:hyperlink r:id="rId26">
        <w:r w:rsidRPr="000E1C6E">
          <w:rPr>
            <w:color w:val="0563C1"/>
            <w:u w:val="single"/>
          </w:rPr>
          <w:t xml:space="preserve">S20 </w:t>
        </w:r>
        <w:r>
          <w:rPr>
            <w:color w:val="0563C1"/>
            <w:u w:val="single"/>
          </w:rPr>
          <w:t>-</w:t>
        </w:r>
        <w:r w:rsidRPr="000E1C6E">
          <w:rPr>
            <w:color w:val="0563C1"/>
            <w:u w:val="single"/>
          </w:rPr>
          <w:t xml:space="preserve"> CJUE, 12 septembre 2019, Cofemel, C-683/17</w:t>
        </w:r>
      </w:hyperlink>
    </w:p>
    <w:p w14:paraId="002E35E2" w14:textId="1F85006E" w:rsidR="00734B01" w:rsidRPr="000E1C6E" w:rsidRDefault="00734B01" w:rsidP="004407A9">
      <w:pPr>
        <w:spacing w:after="0" w:line="240" w:lineRule="auto"/>
        <w:ind w:left="142"/>
      </w:pPr>
      <w:hyperlink r:id="rId27">
        <w:r w:rsidRPr="000E1C6E">
          <w:rPr>
            <w:color w:val="0563C1"/>
            <w:u w:val="single"/>
          </w:rPr>
          <w:t xml:space="preserve">S21 </w:t>
        </w:r>
        <w:r>
          <w:rPr>
            <w:color w:val="0563C1"/>
            <w:u w:val="single"/>
          </w:rPr>
          <w:t>-</w:t>
        </w:r>
        <w:r w:rsidRPr="000E1C6E">
          <w:rPr>
            <w:color w:val="0563C1"/>
            <w:u w:val="single"/>
          </w:rPr>
          <w:t xml:space="preserve"> CJUE, 19 mars 2026, Institutul G. Călinescu, C-649/23</w:t>
        </w:r>
      </w:hyperlink>
    </w:p>
    <w:p w14:paraId="07D5C8B1" w14:textId="3AAB8706" w:rsidR="00734B01" w:rsidRPr="000E1C6E" w:rsidRDefault="00734B01" w:rsidP="004407A9">
      <w:pPr>
        <w:spacing w:after="0" w:line="240" w:lineRule="auto"/>
        <w:ind w:left="142"/>
      </w:pPr>
      <w:hyperlink r:id="rId28">
        <w:r w:rsidRPr="000E1C6E">
          <w:rPr>
            <w:color w:val="0563C1"/>
            <w:u w:val="single"/>
          </w:rPr>
          <w:t xml:space="preserve">S22 </w:t>
        </w:r>
        <w:r>
          <w:rPr>
            <w:color w:val="0563C1"/>
            <w:u w:val="single"/>
          </w:rPr>
          <w:t>-</w:t>
        </w:r>
        <w:r w:rsidRPr="000E1C6E">
          <w:rPr>
            <w:color w:val="0563C1"/>
            <w:u w:val="single"/>
          </w:rPr>
          <w:t xml:space="preserve"> Cass. 1re civ., 10 avril 2013, n° 12-12.886</w:t>
        </w:r>
      </w:hyperlink>
    </w:p>
    <w:p w14:paraId="2F80DA83" w14:textId="644F02B9" w:rsidR="00734B01" w:rsidRPr="000E1C6E" w:rsidRDefault="00734B01" w:rsidP="004407A9">
      <w:pPr>
        <w:spacing w:after="0" w:line="240" w:lineRule="auto"/>
        <w:ind w:left="142"/>
      </w:pPr>
      <w:hyperlink r:id="rId29">
        <w:r w:rsidRPr="000E1C6E">
          <w:rPr>
            <w:color w:val="0563C1"/>
            <w:u w:val="single"/>
          </w:rPr>
          <w:t xml:space="preserve">S23 </w:t>
        </w:r>
        <w:r>
          <w:rPr>
            <w:color w:val="0563C1"/>
            <w:u w:val="single"/>
          </w:rPr>
          <w:t>-</w:t>
        </w:r>
        <w:r w:rsidRPr="000E1C6E">
          <w:rPr>
            <w:color w:val="0563C1"/>
            <w:u w:val="single"/>
          </w:rPr>
          <w:t xml:space="preserve"> Cass. 1re civ., 6 janvier 2021, n° 19-20.758</w:t>
        </w:r>
      </w:hyperlink>
    </w:p>
    <w:p w14:paraId="7D4B9BE2" w14:textId="13E6EE1C" w:rsidR="00734B01" w:rsidRPr="000E1C6E" w:rsidRDefault="00734B01" w:rsidP="004407A9">
      <w:pPr>
        <w:spacing w:after="0" w:line="240" w:lineRule="auto"/>
        <w:ind w:left="142"/>
      </w:pPr>
      <w:hyperlink r:id="rId30">
        <w:r w:rsidRPr="000E1C6E">
          <w:rPr>
            <w:color w:val="0563C1"/>
            <w:u w:val="single"/>
          </w:rPr>
          <w:t xml:space="preserve">S24 </w:t>
        </w:r>
        <w:r>
          <w:rPr>
            <w:color w:val="0563C1"/>
            <w:u w:val="single"/>
          </w:rPr>
          <w:t>-</w:t>
        </w:r>
        <w:r w:rsidRPr="000E1C6E">
          <w:rPr>
            <w:color w:val="0563C1"/>
            <w:u w:val="single"/>
          </w:rPr>
          <w:t xml:space="preserve"> Tribunal judiciaire de Paris, 31 mars 2023, RG n° 20/06208</w:t>
        </w:r>
      </w:hyperlink>
    </w:p>
    <w:p w14:paraId="58A828EB" w14:textId="259DBAD4" w:rsidR="00734B01" w:rsidRPr="00734B01" w:rsidRDefault="00734B01" w:rsidP="004407A9">
      <w:pPr>
        <w:spacing w:after="0" w:line="240" w:lineRule="auto"/>
        <w:ind w:left="142"/>
        <w:rPr>
          <w:lang w:val="en-GB"/>
        </w:rPr>
      </w:pPr>
      <w:hyperlink r:id="rId31">
        <w:r w:rsidRPr="00734B01">
          <w:rPr>
            <w:color w:val="0563C1"/>
            <w:u w:val="single"/>
            <w:lang w:val="en-GB"/>
          </w:rPr>
          <w:t xml:space="preserve">S25 </w:t>
        </w:r>
        <w:r>
          <w:rPr>
            <w:color w:val="0563C1"/>
            <w:u w:val="single"/>
            <w:lang w:val="en-GB"/>
          </w:rPr>
          <w:t>-</w:t>
        </w:r>
        <w:r w:rsidRPr="00734B01">
          <w:rPr>
            <w:color w:val="0563C1"/>
            <w:u w:val="single"/>
            <w:lang w:val="en-GB"/>
          </w:rPr>
          <w:t xml:space="preserve"> INPI, service e-Soleau</w:t>
        </w:r>
      </w:hyperlink>
    </w:p>
    <w:p w14:paraId="4636B2B0" w14:textId="56F821A8" w:rsidR="00734B01" w:rsidRPr="00734B01" w:rsidRDefault="00734B01" w:rsidP="004407A9">
      <w:pPr>
        <w:spacing w:after="0" w:line="240" w:lineRule="auto"/>
        <w:ind w:left="142"/>
        <w:rPr>
          <w:lang w:val="en-GB"/>
        </w:rPr>
      </w:pPr>
      <w:hyperlink r:id="rId32">
        <w:r w:rsidRPr="00734B01">
          <w:rPr>
            <w:color w:val="0563C1"/>
            <w:u w:val="single"/>
            <w:lang w:val="en-GB"/>
          </w:rPr>
          <w:t xml:space="preserve">S26 </w:t>
        </w:r>
        <w:r>
          <w:rPr>
            <w:color w:val="0563C1"/>
            <w:u w:val="single"/>
            <w:lang w:val="en-GB"/>
          </w:rPr>
          <w:t>-</w:t>
        </w:r>
        <w:r w:rsidRPr="00734B01">
          <w:rPr>
            <w:color w:val="0563C1"/>
            <w:u w:val="single"/>
            <w:lang w:val="en-GB"/>
          </w:rPr>
          <w:t xml:space="preserve"> D.C. Circuit, 18 mars 2025, Thaler v. Perlmutter (comparatif)</w:t>
        </w:r>
      </w:hyperlink>
    </w:p>
    <w:p w14:paraId="3B71D252" w14:textId="383ECF16" w:rsidR="00734B01" w:rsidRPr="00734B01" w:rsidRDefault="00734B01" w:rsidP="004407A9">
      <w:pPr>
        <w:spacing w:after="0" w:line="240" w:lineRule="auto"/>
        <w:ind w:left="142"/>
        <w:rPr>
          <w:lang w:val="en-GB"/>
        </w:rPr>
      </w:pPr>
      <w:hyperlink r:id="rId33">
        <w:r w:rsidRPr="00734B01">
          <w:rPr>
            <w:color w:val="0563C1"/>
            <w:u w:val="single"/>
            <w:lang w:val="en-GB"/>
          </w:rPr>
          <w:t xml:space="preserve">S27 </w:t>
        </w:r>
        <w:r>
          <w:rPr>
            <w:color w:val="0563C1"/>
            <w:u w:val="single"/>
            <w:lang w:val="en-GB"/>
          </w:rPr>
          <w:t>-</w:t>
        </w:r>
        <w:r w:rsidRPr="00734B01">
          <w:rPr>
            <w:color w:val="0563C1"/>
            <w:u w:val="single"/>
            <w:lang w:val="en-GB"/>
          </w:rPr>
          <w:t xml:space="preserve"> U.S. Copyright Office, Copyright and Artificial Intelligence, Part 2: Copyrightability (comparatif)</w:t>
        </w:r>
      </w:hyperlink>
    </w:p>
    <w:p w14:paraId="189E591A" w14:textId="4B4722C9" w:rsidR="00734B01" w:rsidRPr="000E1C6E" w:rsidRDefault="00734B01" w:rsidP="004407A9">
      <w:pPr>
        <w:pStyle w:val="LegalBase"/>
        <w:spacing w:after="0" w:line="240" w:lineRule="auto"/>
        <w:jc w:val="both"/>
        <w:rPr>
          <w:lang w:val="fr-FR"/>
        </w:rPr>
      </w:pPr>
      <w:r>
        <w:rPr>
          <w:lang w:val="fr-FR"/>
        </w:rPr>
        <w:t>Date de vérification des textes et liens</w:t>
      </w:r>
      <w:r w:rsidR="004407A9">
        <w:rPr>
          <w:lang w:val="fr-FR"/>
        </w:rPr>
        <w:t> :</w:t>
      </w:r>
      <w:r>
        <w:rPr>
          <w:lang w:val="fr-FR"/>
        </w:rPr>
        <w:t xml:space="preserve"> 6 août 2026. En cas d’utilisation contentieuse ou contractuelle, vérifier la version en vigueur à la date des faits et les règles sectorielles applicables.</w:t>
      </w:r>
    </w:p>
    <w:p w14:paraId="0DCCEE99" w14:textId="77777777" w:rsidR="00734B01" w:rsidRPr="000E1C6E" w:rsidRDefault="00734B01" w:rsidP="004407A9">
      <w:pPr>
        <w:spacing w:after="0" w:line="240" w:lineRule="auto"/>
      </w:pPr>
    </w:p>
    <w:tbl>
      <w:tblPr>
        <w:tblStyle w:val="Grilledutableau"/>
        <w:tblW w:w="5000" w:type="pct"/>
        <w:tblLook w:val="04A0" w:firstRow="1" w:lastRow="0" w:firstColumn="1" w:lastColumn="0" w:noHBand="0" w:noVBand="1"/>
      </w:tblPr>
      <w:tblGrid>
        <w:gridCol w:w="10456"/>
      </w:tblGrid>
      <w:tr w:rsidR="00734B01" w:rsidRPr="004407A9" w14:paraId="76F0502F" w14:textId="77777777" w:rsidTr="006D425B">
        <w:trPr>
          <w:tblHeader/>
        </w:trPr>
        <w:tc>
          <w:tcPr>
            <w:tcW w:w="5000" w:type="pct"/>
          </w:tcPr>
          <w:p w14:paraId="0E288EC4" w14:textId="77777777" w:rsidR="00734B01" w:rsidRPr="004407A9" w:rsidRDefault="00734B01" w:rsidP="004407A9">
            <w:pPr>
              <w:jc w:val="left"/>
              <w:rPr>
                <w:rFonts w:ascii="Calibri" w:hAnsi="Calibri" w:cs="Calibri"/>
                <w:sz w:val="20"/>
              </w:rPr>
            </w:pPr>
            <w:r w:rsidRPr="004407A9">
              <w:rPr>
                <w:rFonts w:ascii="Calibri" w:hAnsi="Calibri" w:cs="Calibri"/>
                <w:b/>
                <w:color w:val="17365D"/>
                <w:sz w:val="20"/>
              </w:rPr>
              <w:t>Conclusion opérationnelle</w:t>
            </w:r>
          </w:p>
          <w:p w14:paraId="09EA273F" w14:textId="339FA277" w:rsidR="00734B01" w:rsidRPr="004407A9" w:rsidRDefault="00734B01" w:rsidP="006D425B">
            <w:pPr>
              <w:rPr>
                <w:rFonts w:ascii="Calibri" w:hAnsi="Calibri" w:cs="Calibri"/>
                <w:sz w:val="20"/>
              </w:rPr>
            </w:pPr>
            <w:r w:rsidRPr="004407A9">
              <w:rPr>
                <w:rFonts w:ascii="Calibri" w:hAnsi="Calibri" w:cs="Calibri"/>
                <w:sz w:val="20"/>
              </w:rPr>
              <w:t>Pour prétendre être auteur d’un écrit, il faut pouvoir montrer que l’on a créé l’expression originale, et non simplement déclenché, choisi ou relu une sortie. La méthode juridiquement la plus sûre consiste à documenter les choix humains, attribuer exactement les rôles, vérifier les droits sur les sources, appliquer les règles de transparence pertinentes et ne revendiquer que les contributions que l’on peut effectivement prouver.</w:t>
            </w:r>
          </w:p>
        </w:tc>
      </w:tr>
    </w:tbl>
    <w:p w14:paraId="710D3BA6" w14:textId="77777777" w:rsidR="000411E3" w:rsidRPr="000D6577" w:rsidRDefault="000411E3" w:rsidP="006D425B">
      <w:pPr>
        <w:spacing w:after="0" w:line="240" w:lineRule="auto"/>
      </w:pPr>
    </w:p>
    <w:sectPr w:rsidR="000411E3" w:rsidRPr="000D6577" w:rsidSect="004407A9">
      <w:footerReference w:type="default" r:id="rId3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6D7A6" w14:textId="77777777" w:rsidR="00E7293F" w:rsidRDefault="00E7293F" w:rsidP="00B870C7">
      <w:r>
        <w:separator/>
      </w:r>
    </w:p>
  </w:endnote>
  <w:endnote w:type="continuationSeparator" w:id="0">
    <w:p w14:paraId="617226E8" w14:textId="77777777" w:rsidR="00E7293F" w:rsidRDefault="00E7293F"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F6E5" w14:textId="77777777" w:rsidR="00E7293F" w:rsidRDefault="00E7293F" w:rsidP="00B870C7">
      <w:r>
        <w:separator/>
      </w:r>
    </w:p>
  </w:footnote>
  <w:footnote w:type="continuationSeparator" w:id="0">
    <w:p w14:paraId="0B05FD50" w14:textId="77777777" w:rsidR="00E7293F" w:rsidRDefault="00E7293F"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A8AD8E"/>
    <w:lvl w:ilvl="0">
      <w:start w:val="1"/>
      <w:numFmt w:val="decimal"/>
      <w:pStyle w:val="Listenumros"/>
      <w:lvlText w:val="%1."/>
      <w:lvlJc w:val="left"/>
      <w:pPr>
        <w:tabs>
          <w:tab w:val="num" w:pos="360"/>
        </w:tabs>
        <w:ind w:left="360" w:hanging="360"/>
      </w:pPr>
    </w:lvl>
  </w:abstractNum>
  <w:abstractNum w:abstractNumId="1" w15:restartNumberingAfterBreak="0">
    <w:nsid w:val="FFFFFF89"/>
    <w:multiLevelType w:val="singleLevel"/>
    <w:tmpl w:val="B1046D9E"/>
    <w:lvl w:ilvl="0">
      <w:start w:val="1"/>
      <w:numFmt w:val="bullet"/>
      <w:pStyle w:val="Listepuces"/>
      <w:lvlText w:val=""/>
      <w:lvlJc w:val="left"/>
      <w:pPr>
        <w:tabs>
          <w:tab w:val="num" w:pos="360"/>
        </w:tabs>
        <w:ind w:left="360" w:hanging="360"/>
      </w:pPr>
      <w:rPr>
        <w:rFonts w:ascii="Symbol" w:hAnsi="Symbol" w:hint="default"/>
      </w:rPr>
    </w:lvl>
  </w:abstractNum>
  <w:num w:numId="1" w16cid:durableId="82840698">
    <w:abstractNumId w:val="1"/>
  </w:num>
  <w:num w:numId="2" w16cid:durableId="311256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326D2"/>
    <w:rsid w:val="000411E3"/>
    <w:rsid w:val="0006139F"/>
    <w:rsid w:val="000C7DE8"/>
    <w:rsid w:val="000D2449"/>
    <w:rsid w:val="000D6577"/>
    <w:rsid w:val="000F0BF9"/>
    <w:rsid w:val="000F1177"/>
    <w:rsid w:val="0013594E"/>
    <w:rsid w:val="00135CDD"/>
    <w:rsid w:val="001666DB"/>
    <w:rsid w:val="001B03F3"/>
    <w:rsid w:val="001C2E5A"/>
    <w:rsid w:val="001F5435"/>
    <w:rsid w:val="001F64D4"/>
    <w:rsid w:val="002402CE"/>
    <w:rsid w:val="002439F2"/>
    <w:rsid w:val="002569B2"/>
    <w:rsid w:val="0026538A"/>
    <w:rsid w:val="00286530"/>
    <w:rsid w:val="00287044"/>
    <w:rsid w:val="002A54D6"/>
    <w:rsid w:val="002F2663"/>
    <w:rsid w:val="003028E5"/>
    <w:rsid w:val="00305E8E"/>
    <w:rsid w:val="003437AD"/>
    <w:rsid w:val="00355840"/>
    <w:rsid w:val="00375473"/>
    <w:rsid w:val="003C4213"/>
    <w:rsid w:val="003D4892"/>
    <w:rsid w:val="003D6FF4"/>
    <w:rsid w:val="003E0E50"/>
    <w:rsid w:val="003E639A"/>
    <w:rsid w:val="003E73E6"/>
    <w:rsid w:val="003F7676"/>
    <w:rsid w:val="004203D1"/>
    <w:rsid w:val="0042534D"/>
    <w:rsid w:val="004407A9"/>
    <w:rsid w:val="004A6242"/>
    <w:rsid w:val="004B49D6"/>
    <w:rsid w:val="004D247E"/>
    <w:rsid w:val="004E074F"/>
    <w:rsid w:val="0050112B"/>
    <w:rsid w:val="005221A8"/>
    <w:rsid w:val="00541075"/>
    <w:rsid w:val="00580F46"/>
    <w:rsid w:val="0059110C"/>
    <w:rsid w:val="005962A0"/>
    <w:rsid w:val="005B4561"/>
    <w:rsid w:val="005E0DC3"/>
    <w:rsid w:val="00600E05"/>
    <w:rsid w:val="00613FDE"/>
    <w:rsid w:val="00632C58"/>
    <w:rsid w:val="00632EDC"/>
    <w:rsid w:val="0063472B"/>
    <w:rsid w:val="006460AB"/>
    <w:rsid w:val="00665A35"/>
    <w:rsid w:val="006C0415"/>
    <w:rsid w:val="006C6336"/>
    <w:rsid w:val="006D099F"/>
    <w:rsid w:val="006D425B"/>
    <w:rsid w:val="00700DA4"/>
    <w:rsid w:val="00713AC4"/>
    <w:rsid w:val="00734B01"/>
    <w:rsid w:val="00742D0C"/>
    <w:rsid w:val="007A110E"/>
    <w:rsid w:val="007A1353"/>
    <w:rsid w:val="007D52B4"/>
    <w:rsid w:val="007E1FF6"/>
    <w:rsid w:val="00800F72"/>
    <w:rsid w:val="00807899"/>
    <w:rsid w:val="00821279"/>
    <w:rsid w:val="008476EE"/>
    <w:rsid w:val="00867BAB"/>
    <w:rsid w:val="00867FF2"/>
    <w:rsid w:val="008D1926"/>
    <w:rsid w:val="009111AC"/>
    <w:rsid w:val="009115B1"/>
    <w:rsid w:val="00911C39"/>
    <w:rsid w:val="00931ED3"/>
    <w:rsid w:val="00991621"/>
    <w:rsid w:val="009B0B53"/>
    <w:rsid w:val="009B4249"/>
    <w:rsid w:val="009F0A1D"/>
    <w:rsid w:val="009F317A"/>
    <w:rsid w:val="00A145DF"/>
    <w:rsid w:val="00A4325D"/>
    <w:rsid w:val="00A52414"/>
    <w:rsid w:val="00A662DC"/>
    <w:rsid w:val="00A878BE"/>
    <w:rsid w:val="00A94D14"/>
    <w:rsid w:val="00A9715C"/>
    <w:rsid w:val="00AA6814"/>
    <w:rsid w:val="00AB3D3A"/>
    <w:rsid w:val="00AB6315"/>
    <w:rsid w:val="00AF5111"/>
    <w:rsid w:val="00B507B1"/>
    <w:rsid w:val="00B649B3"/>
    <w:rsid w:val="00B65E49"/>
    <w:rsid w:val="00B76104"/>
    <w:rsid w:val="00B870C7"/>
    <w:rsid w:val="00B9030D"/>
    <w:rsid w:val="00B906BB"/>
    <w:rsid w:val="00B9666C"/>
    <w:rsid w:val="00BA73A4"/>
    <w:rsid w:val="00BB2B03"/>
    <w:rsid w:val="00BD66AA"/>
    <w:rsid w:val="00C03F1D"/>
    <w:rsid w:val="00C43ED4"/>
    <w:rsid w:val="00C825EC"/>
    <w:rsid w:val="00C87F06"/>
    <w:rsid w:val="00CA4633"/>
    <w:rsid w:val="00CC4DE7"/>
    <w:rsid w:val="00D00629"/>
    <w:rsid w:val="00D503E9"/>
    <w:rsid w:val="00DA6E3D"/>
    <w:rsid w:val="00DD2902"/>
    <w:rsid w:val="00DE760B"/>
    <w:rsid w:val="00E07964"/>
    <w:rsid w:val="00E52BD2"/>
    <w:rsid w:val="00E5775F"/>
    <w:rsid w:val="00E7293F"/>
    <w:rsid w:val="00E9016D"/>
    <w:rsid w:val="00F07238"/>
    <w:rsid w:val="00F26BAE"/>
    <w:rsid w:val="00F4784B"/>
    <w:rsid w:val="00F47F65"/>
    <w:rsid w:val="00F73967"/>
    <w:rsid w:val="00F83D28"/>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13132CFF-2D02-454C-9AB4-74585107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E52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11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52BD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111A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407A9"/>
    <w:pPr>
      <w:spacing w:after="0" w:line="240" w:lineRule="auto"/>
      <w:contextualSpacing/>
      <w:jc w:val="center"/>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407A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5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styleId="Listepuces">
    <w:name w:val="List Bullet"/>
    <w:basedOn w:val="Normal"/>
    <w:uiPriority w:val="99"/>
    <w:unhideWhenUsed/>
    <w:rsid w:val="00734B01"/>
    <w:pPr>
      <w:numPr>
        <w:numId w:val="1"/>
      </w:numPr>
      <w:tabs>
        <w:tab w:val="clear" w:pos="360"/>
      </w:tabs>
      <w:spacing w:after="100"/>
      <w:ind w:left="0" w:firstLine="0"/>
      <w:contextualSpacing/>
      <w:jc w:val="left"/>
    </w:pPr>
    <w:rPr>
      <w:rFonts w:ascii="Aptos" w:eastAsiaTheme="minorEastAsia" w:hAnsi="Aptos"/>
      <w:kern w:val="0"/>
      <w:sz w:val="20"/>
      <w:lang w:val="en-US"/>
      <w14:ligatures w14:val="none"/>
    </w:rPr>
  </w:style>
  <w:style w:type="paragraph" w:styleId="Listenumros">
    <w:name w:val="List Number"/>
    <w:basedOn w:val="Normal"/>
    <w:uiPriority w:val="99"/>
    <w:unhideWhenUsed/>
    <w:rsid w:val="00734B01"/>
    <w:pPr>
      <w:numPr>
        <w:numId w:val="2"/>
      </w:numPr>
      <w:tabs>
        <w:tab w:val="clear" w:pos="360"/>
      </w:tabs>
      <w:spacing w:after="100"/>
      <w:ind w:left="0" w:firstLine="0"/>
      <w:contextualSpacing/>
      <w:jc w:val="left"/>
    </w:pPr>
    <w:rPr>
      <w:rFonts w:ascii="Aptos" w:eastAsiaTheme="minorEastAsia" w:hAnsi="Aptos"/>
      <w:kern w:val="0"/>
      <w:sz w:val="20"/>
      <w:lang w:val="en-US"/>
      <w14:ligatures w14:val="none"/>
    </w:rPr>
  </w:style>
  <w:style w:type="paragraph" w:customStyle="1" w:styleId="LegalBase">
    <w:name w:val="Legal Base"/>
    <w:rsid w:val="00734B01"/>
    <w:pPr>
      <w:spacing w:after="120" w:line="276" w:lineRule="auto"/>
      <w:ind w:left="227"/>
    </w:pPr>
    <w:rPr>
      <w:rFonts w:ascii="Aptos" w:eastAsiaTheme="minorEastAsia" w:hAnsi="Aptos"/>
      <w:i/>
      <w:color w:val="595959"/>
      <w:kern w:val="0"/>
      <w:sz w:val="17"/>
      <w:lang w:val="en-US"/>
      <w14:ligatures w14:val="none"/>
    </w:rPr>
  </w:style>
  <w:style w:type="table" w:styleId="TableauGrille4-Accentuation2">
    <w:name w:val="Grid Table 4 Accent 2"/>
    <w:basedOn w:val="TableauNormal"/>
    <w:uiPriority w:val="49"/>
    <w:rsid w:val="00734B01"/>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660694560">
                          <w:marLeft w:val="0"/>
                          <w:marRight w:val="0"/>
                          <w:marTop w:val="0"/>
                          <w:marBottom w:val="0"/>
                          <w:divBdr>
                            <w:top w:val="none" w:sz="0" w:space="0" w:color="auto"/>
                            <w:left w:val="none" w:sz="0" w:space="0" w:color="auto"/>
                            <w:bottom w:val="none" w:sz="0" w:space="0" w:color="auto"/>
                            <w:right w:val="none" w:sz="0" w:space="0" w:color="auto"/>
                          </w:divBdr>
                        </w:div>
                        <w:div w:id="35654417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 w:id="98526749">
                          <w:marLeft w:val="0"/>
                          <w:marRight w:val="0"/>
                          <w:marTop w:val="0"/>
                          <w:marBottom w:val="0"/>
                          <w:divBdr>
                            <w:top w:val="none" w:sz="0" w:space="0" w:color="auto"/>
                            <w:left w:val="none" w:sz="0" w:space="0" w:color="auto"/>
                            <w:bottom w:val="none" w:sz="0" w:space="0" w:color="auto"/>
                            <w:right w:val="none" w:sz="0" w:space="0" w:color="auto"/>
                          </w:divBdr>
                          <w:divsChild>
                            <w:div w:id="1944610558">
                              <w:marLeft w:val="0"/>
                              <w:marRight w:val="0"/>
                              <w:marTop w:val="0"/>
                              <w:marBottom w:val="0"/>
                              <w:divBdr>
                                <w:top w:val="none" w:sz="0" w:space="0" w:color="auto"/>
                                <w:left w:val="none" w:sz="0" w:space="0" w:color="auto"/>
                                <w:bottom w:val="none" w:sz="0" w:space="0" w:color="auto"/>
                                <w:right w:val="none" w:sz="0" w:space="0" w:color="auto"/>
                              </w:divBdr>
                            </w:div>
                            <w:div w:id="110974388">
                              <w:marLeft w:val="0"/>
                              <w:marRight w:val="0"/>
                              <w:marTop w:val="0"/>
                              <w:marBottom w:val="0"/>
                              <w:divBdr>
                                <w:top w:val="none" w:sz="0" w:space="0" w:color="auto"/>
                                <w:left w:val="none" w:sz="0" w:space="0" w:color="auto"/>
                                <w:bottom w:val="none" w:sz="0" w:space="0" w:color="auto"/>
                                <w:right w:val="none" w:sz="0" w:space="0" w:color="auto"/>
                              </w:divBdr>
                              <w:divsChild>
                                <w:div w:id="1014650994">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4039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651248377">
          <w:marLeft w:val="0"/>
          <w:marRight w:val="0"/>
          <w:marTop w:val="0"/>
          <w:marBottom w:val="0"/>
          <w:divBdr>
            <w:top w:val="none" w:sz="0" w:space="0" w:color="auto"/>
            <w:left w:val="none" w:sz="0" w:space="0" w:color="auto"/>
            <w:bottom w:val="none" w:sz="0" w:space="0" w:color="auto"/>
            <w:right w:val="none" w:sz="0" w:space="0" w:color="auto"/>
          </w:divBdr>
        </w:div>
        <w:div w:id="1159005851">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1869027037">
          <w:marLeft w:val="0"/>
          <w:marRight w:val="0"/>
          <w:marTop w:val="0"/>
          <w:marBottom w:val="0"/>
          <w:divBdr>
            <w:top w:val="none" w:sz="0" w:space="0" w:color="auto"/>
            <w:left w:val="none" w:sz="0" w:space="0" w:color="auto"/>
            <w:bottom w:val="none" w:sz="0" w:space="0" w:color="auto"/>
            <w:right w:val="none" w:sz="0" w:space="0" w:color="auto"/>
          </w:divBdr>
        </w:div>
        <w:div w:id="296031622">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44363192" TargetMode="External"/><Relationship Id="rId18" Type="http://schemas.openxmlformats.org/officeDocument/2006/relationships/hyperlink" Target="https://eur-lex.europa.eu/eli/dir/2019/790/oj?locale=fr" TargetMode="External"/><Relationship Id="rId26" Type="http://schemas.openxmlformats.org/officeDocument/2006/relationships/hyperlink" Target="https://curia.europa.eu/juris/liste.jsf?num=C-683/17" TargetMode="External"/><Relationship Id="rId3" Type="http://schemas.openxmlformats.org/officeDocument/2006/relationships/settings" Target="settings.xml"/><Relationship Id="rId21" Type="http://schemas.openxmlformats.org/officeDocument/2006/relationships/hyperlink" Target="https://digital-strategy.ec.europa.eu/en/faqs/transparency-obligations-under-article-50-ai-act" TargetMode="External"/><Relationship Id="rId34" Type="http://schemas.openxmlformats.org/officeDocument/2006/relationships/footer" Target="footer1.xml"/><Relationship Id="rId7" Type="http://schemas.openxmlformats.org/officeDocument/2006/relationships/hyperlink" Target="https://www.legifrance.gouv.fr/codes/article_lc/LEGIARTI000042814694" TargetMode="External"/><Relationship Id="rId12" Type="http://schemas.openxmlformats.org/officeDocument/2006/relationships/hyperlink" Target="https://www.legifrance.gouv.fr/codes/article_lc/LEGIARTI000048603495" TargetMode="External"/><Relationship Id="rId17" Type="http://schemas.openxmlformats.org/officeDocument/2006/relationships/hyperlink" Target="https://eur-lex.europa.eu/legal-content/FR/TXT/?uri=CELEX:02001L0029-20190606" TargetMode="External"/><Relationship Id="rId25" Type="http://schemas.openxmlformats.org/officeDocument/2006/relationships/hyperlink" Target="https://curia.europa.eu/juris/liste.jsf?num=C-310/17" TargetMode="External"/><Relationship Id="rId33" Type="http://schemas.openxmlformats.org/officeDocument/2006/relationships/hyperlink" Target="https://www.copyright.gov/ai/Copyright-and-Artificial-Intelligence-Part-2-Copyrightability-Report.pdf" TargetMode="External"/><Relationship Id="rId2" Type="http://schemas.openxmlformats.org/officeDocument/2006/relationships/styles" Target="styles.xml"/><Relationship Id="rId16" Type="http://schemas.openxmlformats.org/officeDocument/2006/relationships/hyperlink" Target="https://www.legifrance.gouv.fr/codes/article_lc/LEGIARTI000006279245" TargetMode="External"/><Relationship Id="rId20" Type="http://schemas.openxmlformats.org/officeDocument/2006/relationships/hyperlink" Target="https://digital-strategy.ec.europa.eu/en/policies/guidelines-ai-transparency-obligations" TargetMode="External"/><Relationship Id="rId29" Type="http://schemas.openxmlformats.org/officeDocument/2006/relationships/hyperlink" Target="https://www.legifrance.gouv.fr/juri/id/JURITEXT00004300497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06278911" TargetMode="External"/><Relationship Id="rId24" Type="http://schemas.openxmlformats.org/officeDocument/2006/relationships/hyperlink" Target="https://curia.europa.eu/juris/liste.jsf?num=C-604/10" TargetMode="External"/><Relationship Id="rId32" Type="http://schemas.openxmlformats.org/officeDocument/2006/relationships/hyperlink" Target="https://media.cadc.uscourts.gov/opinions/docs/2025/03/23-5233.pdf" TargetMode="External"/><Relationship Id="rId5" Type="http://schemas.openxmlformats.org/officeDocument/2006/relationships/footnotes" Target="footnotes.xml"/><Relationship Id="rId15" Type="http://schemas.openxmlformats.org/officeDocument/2006/relationships/hyperlink" Target="https://www.legifrance.gouv.fr/codes/article_lc/LEGIARTI000032655082" TargetMode="External"/><Relationship Id="rId23" Type="http://schemas.openxmlformats.org/officeDocument/2006/relationships/hyperlink" Target="https://curia.europa.eu/juris/liste.jsf?num=C-145/10" TargetMode="External"/><Relationship Id="rId28" Type="http://schemas.openxmlformats.org/officeDocument/2006/relationships/hyperlink" Target="https://www.legifrance.gouv.fr/juri/id/JURITEXT000027303923" TargetMode="External"/><Relationship Id="rId36" Type="http://schemas.openxmlformats.org/officeDocument/2006/relationships/theme" Target="theme/theme1.xml"/><Relationship Id="rId10" Type="http://schemas.openxmlformats.org/officeDocument/2006/relationships/hyperlink" Target="https://www.legifrance.gouv.fr/codes/article_lc/LEGIARTI000006278891" TargetMode="External"/><Relationship Id="rId19" Type="http://schemas.openxmlformats.org/officeDocument/2006/relationships/hyperlink" Target="https://eur-lex.europa.eu/legal-content/FR/TXT/?uri=CELEX:32024R1689" TargetMode="External"/><Relationship Id="rId31" Type="http://schemas.openxmlformats.org/officeDocument/2006/relationships/hyperlink" Target="https://www.inpi.fr/realiser-demarches/propriete-intellectuelle/se-preparer-au-depot-dune-e-soleau"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06278881" TargetMode="External"/><Relationship Id="rId14" Type="http://schemas.openxmlformats.org/officeDocument/2006/relationships/hyperlink" Target="https://www.legifrance.gouv.fr/codes/article_lc/LEGIARTI000006278958" TargetMode="External"/><Relationship Id="rId22" Type="http://schemas.openxmlformats.org/officeDocument/2006/relationships/hyperlink" Target="https://curia.europa.eu/juris/liste.jsf?num=C-5/08" TargetMode="External"/><Relationship Id="rId27" Type="http://schemas.openxmlformats.org/officeDocument/2006/relationships/hyperlink" Target="https://infocuria.curia.europa.eu/tabs/affair?lang=fr&amp;publishedId=C-649/23" TargetMode="External"/><Relationship Id="rId30" Type="http://schemas.openxmlformats.org/officeDocument/2006/relationships/hyperlink" Target="https://www.legifrance.gouv.fr/juri/id/JURITEXT000047636328" TargetMode="External"/><Relationship Id="rId35" Type="http://schemas.openxmlformats.org/officeDocument/2006/relationships/fontTable" Target="fontTable.xml"/><Relationship Id="rId8" Type="http://schemas.openxmlformats.org/officeDocument/2006/relationships/hyperlink" Target="https://www.legifrance.gouv.fr/codes/article_lc/LEGIARTI00000627887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4298</Words>
  <Characters>23640</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2</cp:revision>
  <cp:lastPrinted>2024-10-21T07:08:00Z</cp:lastPrinted>
  <dcterms:created xsi:type="dcterms:W3CDTF">2026-08-06T06:11:00Z</dcterms:created>
  <dcterms:modified xsi:type="dcterms:W3CDTF">2026-08-06T06:11:00Z</dcterms:modified>
</cp:coreProperties>
</file>