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8977D" w14:textId="77777777" w:rsidR="001E2D8F" w:rsidRDefault="001E2D8F" w:rsidP="001E2D8F">
      <w:pPr>
        <w:pStyle w:val="Titre"/>
        <w:spacing w:after="0"/>
      </w:pPr>
      <w:r>
        <w:t>La reprise d’entreprise et le contrôle de gestion</w:t>
      </w:r>
    </w:p>
    <w:p w14:paraId="78685798" w14:textId="79532DA9" w:rsidR="001E2D8F" w:rsidRDefault="001E2D8F" w:rsidP="001E2D8F">
      <w:pPr>
        <w:spacing w:after="0" w:line="240" w:lineRule="auto"/>
      </w:pPr>
      <w:r>
        <w:t xml:space="preserve">Fiche de cours détaillée </w:t>
      </w:r>
      <w:r>
        <w:t>-</w:t>
      </w:r>
      <w:r>
        <w:t xml:space="preserve"> Contrôle de gestion</w:t>
      </w:r>
    </w:p>
    <w:p w14:paraId="55F56378" w14:textId="77777777" w:rsidR="001E2D8F" w:rsidRDefault="001E2D8F" w:rsidP="001E2D8F">
      <w:pPr>
        <w:spacing w:after="0" w:line="240" w:lineRule="auto"/>
      </w:pPr>
      <w:r>
        <w:t>Reprendre une entreprise consiste à acquérir une activité existante ou les titres d’une société afin d’en assurer la direction. La décision engage le repreneur sur le prix payé, les investissements à réaliser et les ressources nécessaires au fonctionnement de l’activité.</w:t>
      </w:r>
    </w:p>
    <w:p w14:paraId="41F5D92C" w14:textId="77777777" w:rsidR="001E2D8F" w:rsidRDefault="001E2D8F" w:rsidP="001E2D8F">
      <w:pPr>
        <w:spacing w:after="0" w:line="240" w:lineRule="auto"/>
      </w:pPr>
      <w:r>
        <w:t>Le contrôle de gestion contribue à vérifier la viabilité du projet. Il mesure la rentabilité réelle, chiffre les besoins de financement, teste les hypothèses et organise le pilotage après l’acquisition. Une reprise réussie suppose que l’activité puisse financer son exploitation et ses investissements tout en supportant les engagements liés à l’opération.</w:t>
      </w:r>
    </w:p>
    <w:p w14:paraId="0F993A04" w14:textId="77777777" w:rsidR="001E2D8F" w:rsidRDefault="001E2D8F" w:rsidP="001E2D8F">
      <w:pPr>
        <w:pStyle w:val="Titre2"/>
        <w:spacing w:before="0" w:after="0" w:line="240" w:lineRule="auto"/>
      </w:pPr>
      <w:r>
        <w:t>Objectifs de la fiche</w:t>
      </w:r>
    </w:p>
    <w:p w14:paraId="04535471"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Comprendre les étapes d’une reprise et les informations à collecter.</w:t>
      </w:r>
    </w:p>
    <w:p w14:paraId="0BDB343E"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Établir un diagnostic économique, opérationnel et financier.</w:t>
      </w:r>
    </w:p>
    <w:p w14:paraId="736FE30C"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Distinguer valeur de l’activité, valeur des titres et prix négocié.</w:t>
      </w:r>
    </w:p>
    <w:p w14:paraId="266629DD"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Construire un plan de financement et suivre la performance après la reprise.</w:t>
      </w:r>
    </w:p>
    <w:p w14:paraId="3860C958" w14:textId="77777777" w:rsidR="001E2D8F" w:rsidRDefault="001E2D8F" w:rsidP="001E2D8F">
      <w:pPr>
        <w:pStyle w:val="Titre2"/>
        <w:spacing w:before="0" w:after="0" w:line="240" w:lineRule="auto"/>
      </w:pPr>
      <w:r>
        <w:t>Mots clés</w:t>
      </w:r>
    </w:p>
    <w:tbl>
      <w:tblPr>
        <w:tblStyle w:val="Grilledutableau"/>
        <w:tblW w:w="0" w:type="auto"/>
        <w:tblLayout w:type="fixed"/>
        <w:tblLook w:val="04A0" w:firstRow="1" w:lastRow="0" w:firstColumn="1" w:lastColumn="0" w:noHBand="0" w:noVBand="1"/>
      </w:tblPr>
      <w:tblGrid>
        <w:gridCol w:w="2995"/>
        <w:gridCol w:w="7373"/>
      </w:tblGrid>
      <w:tr w:rsidR="001E2D8F" w:rsidRPr="001E2D8F" w14:paraId="777FD7C4" w14:textId="77777777" w:rsidTr="001E2D8F">
        <w:trPr>
          <w:tblHeader/>
        </w:trPr>
        <w:tc>
          <w:tcPr>
            <w:tcW w:w="2995" w:type="dxa"/>
          </w:tcPr>
          <w:p w14:paraId="74190870" w14:textId="77777777" w:rsidR="001E2D8F" w:rsidRPr="001E2D8F" w:rsidRDefault="001E2D8F" w:rsidP="001E2D8F">
            <w:pPr>
              <w:jc w:val="left"/>
              <w:rPr>
                <w:rFonts w:ascii="Calibri" w:hAnsi="Calibri" w:cs="Calibri"/>
                <w:sz w:val="20"/>
              </w:rPr>
            </w:pPr>
            <w:r w:rsidRPr="001E2D8F">
              <w:rPr>
                <w:rFonts w:ascii="Calibri" w:hAnsi="Calibri" w:cs="Calibri"/>
                <w:b/>
                <w:sz w:val="20"/>
              </w:rPr>
              <w:t>Notion</w:t>
            </w:r>
          </w:p>
        </w:tc>
        <w:tc>
          <w:tcPr>
            <w:tcW w:w="7373" w:type="dxa"/>
          </w:tcPr>
          <w:p w14:paraId="7F6597DC" w14:textId="77777777" w:rsidR="001E2D8F" w:rsidRPr="001E2D8F" w:rsidRDefault="001E2D8F" w:rsidP="001E2D8F">
            <w:pPr>
              <w:jc w:val="left"/>
              <w:rPr>
                <w:rFonts w:ascii="Calibri" w:hAnsi="Calibri" w:cs="Calibri"/>
                <w:sz w:val="20"/>
              </w:rPr>
            </w:pPr>
            <w:r w:rsidRPr="001E2D8F">
              <w:rPr>
                <w:rFonts w:ascii="Calibri" w:hAnsi="Calibri" w:cs="Calibri"/>
                <w:b/>
                <w:sz w:val="20"/>
              </w:rPr>
              <w:t>Définition</w:t>
            </w:r>
          </w:p>
        </w:tc>
      </w:tr>
      <w:tr w:rsidR="001E2D8F" w:rsidRPr="001E2D8F" w14:paraId="46C211A2" w14:textId="77777777" w:rsidTr="001E2D8F">
        <w:tc>
          <w:tcPr>
            <w:tcW w:w="2995" w:type="dxa"/>
          </w:tcPr>
          <w:p w14:paraId="7E857C5A" w14:textId="77777777" w:rsidR="001E2D8F" w:rsidRPr="001E2D8F" w:rsidRDefault="001E2D8F" w:rsidP="001E2D8F">
            <w:pPr>
              <w:jc w:val="left"/>
              <w:rPr>
                <w:rFonts w:ascii="Calibri" w:hAnsi="Calibri" w:cs="Calibri"/>
                <w:sz w:val="20"/>
              </w:rPr>
            </w:pPr>
            <w:r w:rsidRPr="001E2D8F">
              <w:rPr>
                <w:rFonts w:ascii="Calibri" w:hAnsi="Calibri" w:cs="Calibri"/>
                <w:sz w:val="20"/>
              </w:rPr>
              <w:t>Cible</w:t>
            </w:r>
          </w:p>
        </w:tc>
        <w:tc>
          <w:tcPr>
            <w:tcW w:w="7373" w:type="dxa"/>
          </w:tcPr>
          <w:p w14:paraId="6200762A" w14:textId="77777777" w:rsidR="001E2D8F" w:rsidRPr="001E2D8F" w:rsidRDefault="001E2D8F" w:rsidP="001E2D8F">
            <w:pPr>
              <w:jc w:val="left"/>
              <w:rPr>
                <w:rFonts w:ascii="Calibri" w:hAnsi="Calibri" w:cs="Calibri"/>
                <w:sz w:val="20"/>
              </w:rPr>
            </w:pPr>
            <w:r w:rsidRPr="001E2D8F">
              <w:rPr>
                <w:rFonts w:ascii="Calibri" w:hAnsi="Calibri" w:cs="Calibri"/>
                <w:sz w:val="20"/>
              </w:rPr>
              <w:t>Entreprise ou activité que le repreneur envisage d’acquérir.</w:t>
            </w:r>
          </w:p>
        </w:tc>
      </w:tr>
      <w:tr w:rsidR="001E2D8F" w:rsidRPr="001E2D8F" w14:paraId="03D29A6E" w14:textId="77777777" w:rsidTr="001E2D8F">
        <w:tc>
          <w:tcPr>
            <w:tcW w:w="2995" w:type="dxa"/>
          </w:tcPr>
          <w:p w14:paraId="1E2B4EAB" w14:textId="77777777" w:rsidR="001E2D8F" w:rsidRPr="001E2D8F" w:rsidRDefault="001E2D8F" w:rsidP="001E2D8F">
            <w:pPr>
              <w:jc w:val="left"/>
              <w:rPr>
                <w:rFonts w:ascii="Calibri" w:hAnsi="Calibri" w:cs="Calibri"/>
                <w:sz w:val="20"/>
              </w:rPr>
            </w:pPr>
            <w:r w:rsidRPr="001E2D8F">
              <w:rPr>
                <w:rFonts w:ascii="Calibri" w:hAnsi="Calibri" w:cs="Calibri"/>
                <w:sz w:val="20"/>
              </w:rPr>
              <w:t>Cédant</w:t>
            </w:r>
          </w:p>
        </w:tc>
        <w:tc>
          <w:tcPr>
            <w:tcW w:w="7373" w:type="dxa"/>
          </w:tcPr>
          <w:p w14:paraId="7E75AF4A" w14:textId="77777777" w:rsidR="001E2D8F" w:rsidRPr="001E2D8F" w:rsidRDefault="001E2D8F" w:rsidP="001E2D8F">
            <w:pPr>
              <w:jc w:val="left"/>
              <w:rPr>
                <w:rFonts w:ascii="Calibri" w:hAnsi="Calibri" w:cs="Calibri"/>
                <w:sz w:val="20"/>
              </w:rPr>
            </w:pPr>
            <w:r w:rsidRPr="001E2D8F">
              <w:rPr>
                <w:rFonts w:ascii="Calibri" w:hAnsi="Calibri" w:cs="Calibri"/>
                <w:sz w:val="20"/>
              </w:rPr>
              <w:t>Personne ou société qui vend le fonds ou les titres.</w:t>
            </w:r>
          </w:p>
        </w:tc>
      </w:tr>
      <w:tr w:rsidR="001E2D8F" w:rsidRPr="001E2D8F" w14:paraId="618D176E" w14:textId="77777777" w:rsidTr="001E2D8F">
        <w:tc>
          <w:tcPr>
            <w:tcW w:w="2995" w:type="dxa"/>
          </w:tcPr>
          <w:p w14:paraId="417B1AD8" w14:textId="77777777" w:rsidR="001E2D8F" w:rsidRPr="001E2D8F" w:rsidRDefault="001E2D8F" w:rsidP="001E2D8F">
            <w:pPr>
              <w:jc w:val="left"/>
              <w:rPr>
                <w:rFonts w:ascii="Calibri" w:hAnsi="Calibri" w:cs="Calibri"/>
                <w:sz w:val="20"/>
              </w:rPr>
            </w:pPr>
            <w:r w:rsidRPr="001E2D8F">
              <w:rPr>
                <w:rFonts w:ascii="Calibri" w:hAnsi="Calibri" w:cs="Calibri"/>
                <w:sz w:val="20"/>
              </w:rPr>
              <w:t>Diagnostic</w:t>
            </w:r>
          </w:p>
        </w:tc>
        <w:tc>
          <w:tcPr>
            <w:tcW w:w="7373" w:type="dxa"/>
          </w:tcPr>
          <w:p w14:paraId="2AC1A2BE" w14:textId="77777777" w:rsidR="001E2D8F" w:rsidRPr="001E2D8F" w:rsidRDefault="001E2D8F" w:rsidP="001E2D8F">
            <w:pPr>
              <w:jc w:val="left"/>
              <w:rPr>
                <w:rFonts w:ascii="Calibri" w:hAnsi="Calibri" w:cs="Calibri"/>
                <w:sz w:val="20"/>
              </w:rPr>
            </w:pPr>
            <w:r w:rsidRPr="001E2D8F">
              <w:rPr>
                <w:rFonts w:ascii="Calibri" w:hAnsi="Calibri" w:cs="Calibri"/>
                <w:sz w:val="20"/>
              </w:rPr>
              <w:t>Analyse des forces, faiblesses et risques pour éclairer la décision.</w:t>
            </w:r>
          </w:p>
        </w:tc>
      </w:tr>
      <w:tr w:rsidR="001E2D8F" w:rsidRPr="001E2D8F" w14:paraId="2FE12A00" w14:textId="77777777" w:rsidTr="001E2D8F">
        <w:tc>
          <w:tcPr>
            <w:tcW w:w="2995" w:type="dxa"/>
          </w:tcPr>
          <w:p w14:paraId="7CC8D0F1" w14:textId="77777777" w:rsidR="001E2D8F" w:rsidRPr="001E2D8F" w:rsidRDefault="001E2D8F" w:rsidP="001E2D8F">
            <w:pPr>
              <w:jc w:val="left"/>
              <w:rPr>
                <w:rFonts w:ascii="Calibri" w:hAnsi="Calibri" w:cs="Calibri"/>
                <w:sz w:val="20"/>
              </w:rPr>
            </w:pPr>
            <w:r w:rsidRPr="001E2D8F">
              <w:rPr>
                <w:rFonts w:ascii="Calibri" w:hAnsi="Calibri" w:cs="Calibri"/>
                <w:sz w:val="20"/>
              </w:rPr>
              <w:t>Audit d’acquisition</w:t>
            </w:r>
          </w:p>
        </w:tc>
        <w:tc>
          <w:tcPr>
            <w:tcW w:w="7373" w:type="dxa"/>
          </w:tcPr>
          <w:p w14:paraId="3F04A2AA" w14:textId="77777777" w:rsidR="001E2D8F" w:rsidRPr="001E2D8F" w:rsidRDefault="001E2D8F" w:rsidP="001E2D8F">
            <w:pPr>
              <w:jc w:val="left"/>
              <w:rPr>
                <w:rFonts w:ascii="Calibri" w:hAnsi="Calibri" w:cs="Calibri"/>
                <w:sz w:val="20"/>
              </w:rPr>
            </w:pPr>
            <w:r w:rsidRPr="001E2D8F">
              <w:rPr>
                <w:rFonts w:ascii="Calibri" w:hAnsi="Calibri" w:cs="Calibri"/>
                <w:sz w:val="20"/>
              </w:rPr>
              <w:t>Vérifications approfondies des informations et des risques.</w:t>
            </w:r>
          </w:p>
        </w:tc>
      </w:tr>
      <w:tr w:rsidR="001E2D8F" w:rsidRPr="001E2D8F" w14:paraId="53FE9DEE" w14:textId="77777777" w:rsidTr="001E2D8F">
        <w:tc>
          <w:tcPr>
            <w:tcW w:w="2995" w:type="dxa"/>
          </w:tcPr>
          <w:p w14:paraId="6C151E76" w14:textId="77777777" w:rsidR="001E2D8F" w:rsidRPr="001E2D8F" w:rsidRDefault="001E2D8F" w:rsidP="001E2D8F">
            <w:pPr>
              <w:jc w:val="left"/>
              <w:rPr>
                <w:rFonts w:ascii="Calibri" w:hAnsi="Calibri" w:cs="Calibri"/>
                <w:sz w:val="20"/>
              </w:rPr>
            </w:pPr>
            <w:r w:rsidRPr="001E2D8F">
              <w:rPr>
                <w:rFonts w:ascii="Calibri" w:hAnsi="Calibri" w:cs="Calibri"/>
                <w:sz w:val="20"/>
              </w:rPr>
              <w:t>Rentabilité normalisée</w:t>
            </w:r>
          </w:p>
        </w:tc>
        <w:tc>
          <w:tcPr>
            <w:tcW w:w="7373" w:type="dxa"/>
          </w:tcPr>
          <w:p w14:paraId="013E7441" w14:textId="77777777" w:rsidR="001E2D8F" w:rsidRPr="001E2D8F" w:rsidRDefault="001E2D8F" w:rsidP="001E2D8F">
            <w:pPr>
              <w:jc w:val="left"/>
              <w:rPr>
                <w:rFonts w:ascii="Calibri" w:hAnsi="Calibri" w:cs="Calibri"/>
                <w:sz w:val="20"/>
              </w:rPr>
            </w:pPr>
            <w:r w:rsidRPr="001E2D8F">
              <w:rPr>
                <w:rFonts w:ascii="Calibri" w:hAnsi="Calibri" w:cs="Calibri"/>
                <w:sz w:val="20"/>
              </w:rPr>
              <w:t>Performance retraitée pour représenter des conditions durables.</w:t>
            </w:r>
          </w:p>
        </w:tc>
      </w:tr>
      <w:tr w:rsidR="001E2D8F" w:rsidRPr="001E2D8F" w14:paraId="5B79E130" w14:textId="77777777" w:rsidTr="001E2D8F">
        <w:tc>
          <w:tcPr>
            <w:tcW w:w="2995" w:type="dxa"/>
          </w:tcPr>
          <w:p w14:paraId="69FD95C4" w14:textId="77777777" w:rsidR="001E2D8F" w:rsidRPr="001E2D8F" w:rsidRDefault="001E2D8F" w:rsidP="001E2D8F">
            <w:pPr>
              <w:jc w:val="left"/>
              <w:rPr>
                <w:rFonts w:ascii="Calibri" w:hAnsi="Calibri" w:cs="Calibri"/>
                <w:sz w:val="20"/>
              </w:rPr>
            </w:pPr>
            <w:r w:rsidRPr="001E2D8F">
              <w:rPr>
                <w:rFonts w:ascii="Calibri" w:hAnsi="Calibri" w:cs="Calibri"/>
                <w:sz w:val="20"/>
              </w:rPr>
              <w:t>Besoin en fonds de roulement</w:t>
            </w:r>
          </w:p>
        </w:tc>
        <w:tc>
          <w:tcPr>
            <w:tcW w:w="7373" w:type="dxa"/>
          </w:tcPr>
          <w:p w14:paraId="4067717F" w14:textId="77777777" w:rsidR="001E2D8F" w:rsidRPr="001E2D8F" w:rsidRDefault="001E2D8F" w:rsidP="001E2D8F">
            <w:pPr>
              <w:jc w:val="left"/>
              <w:rPr>
                <w:rFonts w:ascii="Calibri" w:hAnsi="Calibri" w:cs="Calibri"/>
                <w:sz w:val="20"/>
              </w:rPr>
            </w:pPr>
            <w:r w:rsidRPr="001E2D8F">
              <w:rPr>
                <w:rFonts w:ascii="Calibri" w:hAnsi="Calibri" w:cs="Calibri"/>
                <w:sz w:val="20"/>
              </w:rPr>
              <w:t>Financement immobilisé dans le cycle d’exploitation.</w:t>
            </w:r>
          </w:p>
        </w:tc>
      </w:tr>
      <w:tr w:rsidR="001E2D8F" w:rsidRPr="001E2D8F" w14:paraId="33769140" w14:textId="77777777" w:rsidTr="001E2D8F">
        <w:tc>
          <w:tcPr>
            <w:tcW w:w="2995" w:type="dxa"/>
          </w:tcPr>
          <w:p w14:paraId="6DC0D649" w14:textId="77777777" w:rsidR="001E2D8F" w:rsidRPr="001E2D8F" w:rsidRDefault="001E2D8F" w:rsidP="001E2D8F">
            <w:pPr>
              <w:jc w:val="left"/>
              <w:rPr>
                <w:rFonts w:ascii="Calibri" w:hAnsi="Calibri" w:cs="Calibri"/>
                <w:sz w:val="20"/>
              </w:rPr>
            </w:pPr>
            <w:r w:rsidRPr="001E2D8F">
              <w:rPr>
                <w:rFonts w:ascii="Calibri" w:hAnsi="Calibri" w:cs="Calibri"/>
                <w:sz w:val="20"/>
              </w:rPr>
              <w:t>Actif net corrigé</w:t>
            </w:r>
          </w:p>
        </w:tc>
        <w:tc>
          <w:tcPr>
            <w:tcW w:w="7373" w:type="dxa"/>
          </w:tcPr>
          <w:p w14:paraId="19E9A549" w14:textId="77777777" w:rsidR="001E2D8F" w:rsidRPr="001E2D8F" w:rsidRDefault="001E2D8F" w:rsidP="001E2D8F">
            <w:pPr>
              <w:jc w:val="left"/>
              <w:rPr>
                <w:rFonts w:ascii="Calibri" w:hAnsi="Calibri" w:cs="Calibri"/>
                <w:sz w:val="20"/>
              </w:rPr>
            </w:pPr>
            <w:r w:rsidRPr="001E2D8F">
              <w:rPr>
                <w:rFonts w:ascii="Calibri" w:hAnsi="Calibri" w:cs="Calibri"/>
                <w:sz w:val="20"/>
              </w:rPr>
              <w:t>Valeur économique des actifs diminuée des dettes et risques retenus.</w:t>
            </w:r>
          </w:p>
        </w:tc>
      </w:tr>
      <w:tr w:rsidR="001E2D8F" w:rsidRPr="001E2D8F" w14:paraId="192AB272" w14:textId="77777777" w:rsidTr="001E2D8F">
        <w:tc>
          <w:tcPr>
            <w:tcW w:w="2995" w:type="dxa"/>
          </w:tcPr>
          <w:p w14:paraId="66AF12C6" w14:textId="77777777" w:rsidR="001E2D8F" w:rsidRPr="001E2D8F" w:rsidRDefault="001E2D8F" w:rsidP="001E2D8F">
            <w:pPr>
              <w:jc w:val="left"/>
              <w:rPr>
                <w:rFonts w:ascii="Calibri" w:hAnsi="Calibri" w:cs="Calibri"/>
                <w:sz w:val="20"/>
              </w:rPr>
            </w:pPr>
            <w:r w:rsidRPr="001E2D8F">
              <w:rPr>
                <w:rFonts w:ascii="Calibri" w:hAnsi="Calibri" w:cs="Calibri"/>
                <w:sz w:val="20"/>
              </w:rPr>
              <w:t>Garantie d’actif et de passif</w:t>
            </w:r>
          </w:p>
        </w:tc>
        <w:tc>
          <w:tcPr>
            <w:tcW w:w="7373" w:type="dxa"/>
          </w:tcPr>
          <w:p w14:paraId="65701D8E" w14:textId="77777777" w:rsidR="001E2D8F" w:rsidRPr="001E2D8F" w:rsidRDefault="001E2D8F" w:rsidP="001E2D8F">
            <w:pPr>
              <w:jc w:val="left"/>
              <w:rPr>
                <w:rFonts w:ascii="Calibri" w:hAnsi="Calibri" w:cs="Calibri"/>
                <w:sz w:val="20"/>
              </w:rPr>
            </w:pPr>
            <w:r w:rsidRPr="001E2D8F">
              <w:rPr>
                <w:rFonts w:ascii="Calibri" w:hAnsi="Calibri" w:cs="Calibri"/>
                <w:sz w:val="20"/>
              </w:rPr>
              <w:t>Engagement contractuel du cédant couvrant certains risques antérieurs.</w:t>
            </w:r>
          </w:p>
        </w:tc>
      </w:tr>
      <w:tr w:rsidR="001E2D8F" w:rsidRPr="001E2D8F" w14:paraId="1DE43D6D" w14:textId="77777777" w:rsidTr="001E2D8F">
        <w:tc>
          <w:tcPr>
            <w:tcW w:w="2995" w:type="dxa"/>
          </w:tcPr>
          <w:p w14:paraId="160C7B6F" w14:textId="77777777" w:rsidR="001E2D8F" w:rsidRPr="001E2D8F" w:rsidRDefault="001E2D8F" w:rsidP="001E2D8F">
            <w:pPr>
              <w:jc w:val="left"/>
              <w:rPr>
                <w:rFonts w:ascii="Calibri" w:hAnsi="Calibri" w:cs="Calibri"/>
                <w:sz w:val="20"/>
              </w:rPr>
            </w:pPr>
            <w:r w:rsidRPr="001E2D8F">
              <w:rPr>
                <w:rFonts w:ascii="Calibri" w:hAnsi="Calibri" w:cs="Calibri"/>
                <w:sz w:val="20"/>
              </w:rPr>
              <w:t>Plan de financement</w:t>
            </w:r>
          </w:p>
        </w:tc>
        <w:tc>
          <w:tcPr>
            <w:tcW w:w="7373" w:type="dxa"/>
          </w:tcPr>
          <w:p w14:paraId="77E817C1" w14:textId="77777777" w:rsidR="001E2D8F" w:rsidRPr="001E2D8F" w:rsidRDefault="001E2D8F" w:rsidP="001E2D8F">
            <w:pPr>
              <w:jc w:val="left"/>
              <w:rPr>
                <w:rFonts w:ascii="Calibri" w:hAnsi="Calibri" w:cs="Calibri"/>
                <w:sz w:val="20"/>
              </w:rPr>
            </w:pPr>
            <w:r w:rsidRPr="001E2D8F">
              <w:rPr>
                <w:rFonts w:ascii="Calibri" w:hAnsi="Calibri" w:cs="Calibri"/>
                <w:sz w:val="20"/>
              </w:rPr>
              <w:t>Tableau des besoins et des ressources de l’opération.</w:t>
            </w:r>
          </w:p>
        </w:tc>
      </w:tr>
    </w:tbl>
    <w:p w14:paraId="5815513E" w14:textId="77777777" w:rsidR="001E2D8F" w:rsidRDefault="001E2D8F" w:rsidP="001E2D8F">
      <w:pPr>
        <w:spacing w:after="0" w:line="240" w:lineRule="auto"/>
      </w:pPr>
    </w:p>
    <w:p w14:paraId="44DA9EC6" w14:textId="3B96E225" w:rsidR="001E2D8F" w:rsidRDefault="001E2D8F" w:rsidP="001E2D8F">
      <w:pPr>
        <w:spacing w:after="0" w:line="240" w:lineRule="auto"/>
      </w:pPr>
      <w:r>
        <w:t>Champ</w:t>
      </w:r>
      <w:r>
        <w:t> :</w:t>
      </w:r>
      <w:r>
        <w:t xml:space="preserve"> entreprise en activité et reprise négociée. Une acquisition dans le cadre d’une procédure collective obéit à des règles particulières. Les exemples chiffrés sont pédagogiques et fictifs.</w:t>
      </w:r>
    </w:p>
    <w:p w14:paraId="31BCE75A" w14:textId="77777777" w:rsidR="001E2D8F" w:rsidRDefault="001E2D8F" w:rsidP="001E2D8F">
      <w:pPr>
        <w:spacing w:after="0" w:line="240" w:lineRule="auto"/>
      </w:pPr>
    </w:p>
    <w:p w14:paraId="1209F750" w14:textId="66C514D4" w:rsidR="001E2D8F" w:rsidRDefault="001E2D8F" w:rsidP="001E2D8F">
      <w:pPr>
        <w:spacing w:after="0" w:line="240" w:lineRule="auto"/>
      </w:pPr>
    </w:p>
    <w:p w14:paraId="23616253" w14:textId="77777777" w:rsidR="001E2D8F" w:rsidRDefault="001E2D8F" w:rsidP="001E2D8F">
      <w:pPr>
        <w:pStyle w:val="Titre1"/>
        <w:spacing w:before="0" w:after="0" w:line="240" w:lineRule="auto"/>
      </w:pPr>
      <w:r>
        <w:t>1- Définir le projet et les étapes de la reprise</w:t>
      </w:r>
    </w:p>
    <w:p w14:paraId="6A05CEB6" w14:textId="77777777" w:rsidR="001E2D8F" w:rsidRDefault="001E2D8F" w:rsidP="001E2D8F">
      <w:pPr>
        <w:pStyle w:val="Titre2"/>
        <w:spacing w:before="0" w:after="0" w:line="240" w:lineRule="auto"/>
      </w:pPr>
      <w:r>
        <w:t>1.1- Vérifier l’adéquation entre le repreneur et la cible</w:t>
      </w:r>
    </w:p>
    <w:p w14:paraId="7BD7FDAC" w14:textId="77777777" w:rsidR="001E2D8F" w:rsidRDefault="001E2D8F" w:rsidP="001E2D8F">
      <w:pPr>
        <w:spacing w:after="0" w:line="240" w:lineRule="auto"/>
      </w:pPr>
      <w:r>
        <w:t>Le repreneur précise ses compétences techniques et commerciales, son expérience de direction, ses disponibilités et sa capacité d’investissement. Il apprécie les compétences à compléter par un recrutement, une formation ou un accompagnement. La connaissance du métier facilite le diagnostic, mais ne dispense pas d’étudier les données de l’entreprise.</w:t>
      </w:r>
    </w:p>
    <w:p w14:paraId="282B9C5B" w14:textId="77777777" w:rsidR="001E2D8F" w:rsidRDefault="001E2D8F" w:rsidP="001E2D8F">
      <w:pPr>
        <w:spacing w:after="0" w:line="240" w:lineRule="auto"/>
      </w:pPr>
      <w:r>
        <w:t>La fiche de recherche indique l’activité, la zone géographique, la taille souhaitée, la situation économique acceptable et le budget global mobilisable. Ce budget comprend l’acquisition et les besoins supplémentaires de l’activité. Une cible abordable au prix affiché peut devenir inaccessible lorsque les investissements et la trésorerie sont intégrés.</w:t>
      </w:r>
    </w:p>
    <w:p w14:paraId="2C1A260D" w14:textId="77777777" w:rsidR="001E2D8F" w:rsidRDefault="001E2D8F" w:rsidP="001E2D8F">
      <w:pPr>
        <w:pStyle w:val="Titre2"/>
        <w:spacing w:before="0" w:after="0" w:line="240" w:lineRule="auto"/>
      </w:pPr>
      <w:r>
        <w:t>1.2- Organiser la démarche</w:t>
      </w:r>
    </w:p>
    <w:tbl>
      <w:tblPr>
        <w:tblStyle w:val="Grilledutableau"/>
        <w:tblW w:w="0" w:type="auto"/>
        <w:tblLayout w:type="fixed"/>
        <w:tblLook w:val="04A0" w:firstRow="1" w:lastRow="0" w:firstColumn="1" w:lastColumn="0" w:noHBand="0" w:noVBand="1"/>
      </w:tblPr>
      <w:tblGrid>
        <w:gridCol w:w="2045"/>
        <w:gridCol w:w="4147"/>
        <w:gridCol w:w="4176"/>
      </w:tblGrid>
      <w:tr w:rsidR="001E2D8F" w:rsidRPr="001E2D8F" w14:paraId="4C045B74" w14:textId="77777777" w:rsidTr="001E2D8F">
        <w:trPr>
          <w:tblHeader/>
        </w:trPr>
        <w:tc>
          <w:tcPr>
            <w:tcW w:w="2045" w:type="dxa"/>
          </w:tcPr>
          <w:p w14:paraId="02329625" w14:textId="77777777" w:rsidR="001E2D8F" w:rsidRPr="001E2D8F" w:rsidRDefault="001E2D8F" w:rsidP="001E2D8F">
            <w:r w:rsidRPr="001E2D8F">
              <w:t>Étape</w:t>
            </w:r>
          </w:p>
        </w:tc>
        <w:tc>
          <w:tcPr>
            <w:tcW w:w="4147" w:type="dxa"/>
          </w:tcPr>
          <w:p w14:paraId="69B6BF9D" w14:textId="77777777" w:rsidR="001E2D8F" w:rsidRPr="001E2D8F" w:rsidRDefault="001E2D8F" w:rsidP="001E2D8F">
            <w:r w:rsidRPr="001E2D8F">
              <w:t>Question principale</w:t>
            </w:r>
          </w:p>
        </w:tc>
        <w:tc>
          <w:tcPr>
            <w:tcW w:w="4176" w:type="dxa"/>
          </w:tcPr>
          <w:p w14:paraId="22E1D064" w14:textId="77777777" w:rsidR="001E2D8F" w:rsidRPr="001E2D8F" w:rsidRDefault="001E2D8F" w:rsidP="001E2D8F">
            <w:r w:rsidRPr="001E2D8F">
              <w:t>Production attendue</w:t>
            </w:r>
          </w:p>
        </w:tc>
      </w:tr>
      <w:tr w:rsidR="001E2D8F" w:rsidRPr="001E2D8F" w14:paraId="240EB70A" w14:textId="77777777" w:rsidTr="001E2D8F">
        <w:tc>
          <w:tcPr>
            <w:tcW w:w="2045" w:type="dxa"/>
          </w:tcPr>
          <w:p w14:paraId="5E3543C9" w14:textId="77777777" w:rsidR="001E2D8F" w:rsidRPr="001E2D8F" w:rsidRDefault="001E2D8F" w:rsidP="001E2D8F">
            <w:r w:rsidRPr="001E2D8F">
              <w:t>1. Analyse du projet</w:t>
            </w:r>
          </w:p>
        </w:tc>
        <w:tc>
          <w:tcPr>
            <w:tcW w:w="4147" w:type="dxa"/>
          </w:tcPr>
          <w:p w14:paraId="3C765D45" w14:textId="620A6C18" w:rsidR="001E2D8F" w:rsidRPr="001E2D8F" w:rsidRDefault="001E2D8F" w:rsidP="001E2D8F">
            <w:r w:rsidRPr="001E2D8F">
              <w:t>Quelles compétences et contraintes</w:t>
            </w:r>
            <w:r w:rsidRPr="001E2D8F">
              <w:t> ?</w:t>
            </w:r>
          </w:p>
        </w:tc>
        <w:tc>
          <w:tcPr>
            <w:tcW w:w="4176" w:type="dxa"/>
          </w:tcPr>
          <w:p w14:paraId="23E50572" w14:textId="77777777" w:rsidR="001E2D8F" w:rsidRPr="001E2D8F" w:rsidRDefault="001E2D8F" w:rsidP="001E2D8F">
            <w:r w:rsidRPr="001E2D8F">
              <w:t>Fiche du projet personnel</w:t>
            </w:r>
          </w:p>
        </w:tc>
      </w:tr>
      <w:tr w:rsidR="001E2D8F" w:rsidRPr="001E2D8F" w14:paraId="1111F062" w14:textId="77777777" w:rsidTr="001E2D8F">
        <w:tc>
          <w:tcPr>
            <w:tcW w:w="2045" w:type="dxa"/>
          </w:tcPr>
          <w:p w14:paraId="6390BF31" w14:textId="77777777" w:rsidR="001E2D8F" w:rsidRPr="001E2D8F" w:rsidRDefault="001E2D8F" w:rsidP="001E2D8F">
            <w:r w:rsidRPr="001E2D8F">
              <w:t>2. Recherche</w:t>
            </w:r>
          </w:p>
        </w:tc>
        <w:tc>
          <w:tcPr>
            <w:tcW w:w="4147" w:type="dxa"/>
          </w:tcPr>
          <w:p w14:paraId="43039C5C" w14:textId="23EC335A" w:rsidR="001E2D8F" w:rsidRPr="001E2D8F" w:rsidRDefault="001E2D8F" w:rsidP="001E2D8F">
            <w:r w:rsidRPr="001E2D8F">
              <w:t>Quelles entreprises correspondent</w:t>
            </w:r>
            <w:r w:rsidRPr="001E2D8F">
              <w:t> ?</w:t>
            </w:r>
          </w:p>
        </w:tc>
        <w:tc>
          <w:tcPr>
            <w:tcW w:w="4176" w:type="dxa"/>
          </w:tcPr>
          <w:p w14:paraId="7C923BED" w14:textId="77777777" w:rsidR="001E2D8F" w:rsidRPr="001E2D8F" w:rsidRDefault="001E2D8F" w:rsidP="001E2D8F">
            <w:r w:rsidRPr="001E2D8F">
              <w:t>Critères et présélection</w:t>
            </w:r>
          </w:p>
        </w:tc>
      </w:tr>
      <w:tr w:rsidR="001E2D8F" w:rsidRPr="001E2D8F" w14:paraId="0E84DBEA" w14:textId="77777777" w:rsidTr="001E2D8F">
        <w:tc>
          <w:tcPr>
            <w:tcW w:w="2045" w:type="dxa"/>
          </w:tcPr>
          <w:p w14:paraId="783F87AF" w14:textId="77777777" w:rsidR="001E2D8F" w:rsidRPr="001E2D8F" w:rsidRDefault="001E2D8F" w:rsidP="001E2D8F">
            <w:r w:rsidRPr="001E2D8F">
              <w:t>3. Étude et contact</w:t>
            </w:r>
          </w:p>
        </w:tc>
        <w:tc>
          <w:tcPr>
            <w:tcW w:w="4147" w:type="dxa"/>
          </w:tcPr>
          <w:p w14:paraId="38454B99" w14:textId="7CD1621F" w:rsidR="001E2D8F" w:rsidRPr="001E2D8F" w:rsidRDefault="001E2D8F" w:rsidP="001E2D8F">
            <w:r w:rsidRPr="001E2D8F">
              <w:t>Quelles données sont accessibles</w:t>
            </w:r>
            <w:r w:rsidRPr="001E2D8F">
              <w:t> ?</w:t>
            </w:r>
          </w:p>
        </w:tc>
        <w:tc>
          <w:tcPr>
            <w:tcW w:w="4176" w:type="dxa"/>
          </w:tcPr>
          <w:p w14:paraId="5571EC58" w14:textId="77777777" w:rsidR="001E2D8F" w:rsidRPr="001E2D8F" w:rsidRDefault="001E2D8F" w:rsidP="001E2D8F">
            <w:r w:rsidRPr="001E2D8F">
              <w:t>Dossier documenté</w:t>
            </w:r>
          </w:p>
        </w:tc>
      </w:tr>
      <w:tr w:rsidR="001E2D8F" w:rsidRPr="001E2D8F" w14:paraId="130843A0" w14:textId="77777777" w:rsidTr="001E2D8F">
        <w:tc>
          <w:tcPr>
            <w:tcW w:w="2045" w:type="dxa"/>
          </w:tcPr>
          <w:p w14:paraId="19F561B9" w14:textId="77777777" w:rsidR="001E2D8F" w:rsidRPr="001E2D8F" w:rsidRDefault="001E2D8F" w:rsidP="001E2D8F">
            <w:r w:rsidRPr="001E2D8F">
              <w:t>4. Diagnostic</w:t>
            </w:r>
          </w:p>
        </w:tc>
        <w:tc>
          <w:tcPr>
            <w:tcW w:w="4147" w:type="dxa"/>
          </w:tcPr>
          <w:p w14:paraId="75B2B525" w14:textId="4488D599" w:rsidR="001E2D8F" w:rsidRPr="001E2D8F" w:rsidRDefault="001E2D8F" w:rsidP="001E2D8F">
            <w:r w:rsidRPr="001E2D8F">
              <w:t>Quelle performance et quels risques</w:t>
            </w:r>
            <w:r w:rsidRPr="001E2D8F">
              <w:t> ?</w:t>
            </w:r>
          </w:p>
        </w:tc>
        <w:tc>
          <w:tcPr>
            <w:tcW w:w="4176" w:type="dxa"/>
          </w:tcPr>
          <w:p w14:paraId="63DC3C75" w14:textId="77777777" w:rsidR="001E2D8F" w:rsidRPr="001E2D8F" w:rsidRDefault="001E2D8F" w:rsidP="001E2D8F">
            <w:r w:rsidRPr="001E2D8F">
              <w:t>Synthèse et retraitements</w:t>
            </w:r>
          </w:p>
        </w:tc>
      </w:tr>
      <w:tr w:rsidR="001E2D8F" w:rsidRPr="001E2D8F" w14:paraId="06167957" w14:textId="77777777" w:rsidTr="001E2D8F">
        <w:tc>
          <w:tcPr>
            <w:tcW w:w="2045" w:type="dxa"/>
          </w:tcPr>
          <w:p w14:paraId="3F1712EA" w14:textId="77777777" w:rsidR="001E2D8F" w:rsidRPr="001E2D8F" w:rsidRDefault="001E2D8F" w:rsidP="001E2D8F">
            <w:r w:rsidRPr="001E2D8F">
              <w:t>5. Valorisation</w:t>
            </w:r>
          </w:p>
        </w:tc>
        <w:tc>
          <w:tcPr>
            <w:tcW w:w="4147" w:type="dxa"/>
          </w:tcPr>
          <w:p w14:paraId="733D60EA" w14:textId="070BA0C3" w:rsidR="001E2D8F" w:rsidRPr="001E2D8F" w:rsidRDefault="001E2D8F" w:rsidP="001E2D8F">
            <w:r w:rsidRPr="001E2D8F">
              <w:t>Quelle fourchette de valeur</w:t>
            </w:r>
            <w:r w:rsidRPr="001E2D8F">
              <w:t> ?</w:t>
            </w:r>
          </w:p>
        </w:tc>
        <w:tc>
          <w:tcPr>
            <w:tcW w:w="4176" w:type="dxa"/>
          </w:tcPr>
          <w:p w14:paraId="14BBDCE8" w14:textId="77777777" w:rsidR="001E2D8F" w:rsidRPr="001E2D8F" w:rsidRDefault="001E2D8F" w:rsidP="001E2D8F">
            <w:r w:rsidRPr="001E2D8F">
              <w:t>Calculs et hypothèses</w:t>
            </w:r>
          </w:p>
        </w:tc>
      </w:tr>
      <w:tr w:rsidR="001E2D8F" w:rsidRPr="001E2D8F" w14:paraId="18F1185B" w14:textId="77777777" w:rsidTr="001E2D8F">
        <w:tc>
          <w:tcPr>
            <w:tcW w:w="2045" w:type="dxa"/>
          </w:tcPr>
          <w:p w14:paraId="2739B5E8" w14:textId="77777777" w:rsidR="001E2D8F" w:rsidRPr="001E2D8F" w:rsidRDefault="001E2D8F" w:rsidP="001E2D8F">
            <w:r w:rsidRPr="001E2D8F">
              <w:t>6. Négociation</w:t>
            </w:r>
          </w:p>
        </w:tc>
        <w:tc>
          <w:tcPr>
            <w:tcW w:w="4147" w:type="dxa"/>
          </w:tcPr>
          <w:p w14:paraId="6C043AB4" w14:textId="30E1227C" w:rsidR="001E2D8F" w:rsidRPr="001E2D8F" w:rsidRDefault="001E2D8F" w:rsidP="001E2D8F">
            <w:r w:rsidRPr="001E2D8F">
              <w:t>Quel prix et quelles protections</w:t>
            </w:r>
            <w:r w:rsidRPr="001E2D8F">
              <w:t> ?</w:t>
            </w:r>
          </w:p>
        </w:tc>
        <w:tc>
          <w:tcPr>
            <w:tcW w:w="4176" w:type="dxa"/>
          </w:tcPr>
          <w:p w14:paraId="794CF8C8" w14:textId="77777777" w:rsidR="001E2D8F" w:rsidRPr="001E2D8F" w:rsidRDefault="001E2D8F" w:rsidP="001E2D8F">
            <w:r w:rsidRPr="001E2D8F">
              <w:t>Conditions de l’offre</w:t>
            </w:r>
          </w:p>
        </w:tc>
      </w:tr>
      <w:tr w:rsidR="001E2D8F" w:rsidRPr="001E2D8F" w14:paraId="3E91C727" w14:textId="77777777" w:rsidTr="001E2D8F">
        <w:tc>
          <w:tcPr>
            <w:tcW w:w="2045" w:type="dxa"/>
          </w:tcPr>
          <w:p w14:paraId="74400CBC" w14:textId="77777777" w:rsidR="001E2D8F" w:rsidRPr="001E2D8F" w:rsidRDefault="001E2D8F" w:rsidP="001E2D8F">
            <w:r w:rsidRPr="001E2D8F">
              <w:t>7. Montage</w:t>
            </w:r>
          </w:p>
        </w:tc>
        <w:tc>
          <w:tcPr>
            <w:tcW w:w="4147" w:type="dxa"/>
          </w:tcPr>
          <w:p w14:paraId="5835728B" w14:textId="13EE2819" w:rsidR="001E2D8F" w:rsidRPr="001E2D8F" w:rsidRDefault="001E2D8F" w:rsidP="001E2D8F">
            <w:r w:rsidRPr="001E2D8F">
              <w:t>Quels besoins et ressources</w:t>
            </w:r>
            <w:r w:rsidRPr="001E2D8F">
              <w:t> ?</w:t>
            </w:r>
          </w:p>
        </w:tc>
        <w:tc>
          <w:tcPr>
            <w:tcW w:w="4176" w:type="dxa"/>
          </w:tcPr>
          <w:p w14:paraId="15782E38" w14:textId="77777777" w:rsidR="001E2D8F" w:rsidRPr="001E2D8F" w:rsidRDefault="001E2D8F" w:rsidP="001E2D8F">
            <w:r w:rsidRPr="001E2D8F">
              <w:t>Plan de financement</w:t>
            </w:r>
          </w:p>
        </w:tc>
      </w:tr>
      <w:tr w:rsidR="001E2D8F" w:rsidRPr="001E2D8F" w14:paraId="6481F560" w14:textId="77777777" w:rsidTr="001E2D8F">
        <w:tc>
          <w:tcPr>
            <w:tcW w:w="2045" w:type="dxa"/>
          </w:tcPr>
          <w:p w14:paraId="7991EE78" w14:textId="77777777" w:rsidR="001E2D8F" w:rsidRPr="001E2D8F" w:rsidRDefault="001E2D8F" w:rsidP="001E2D8F">
            <w:r w:rsidRPr="001E2D8F">
              <w:t>8. Audit</w:t>
            </w:r>
          </w:p>
        </w:tc>
        <w:tc>
          <w:tcPr>
            <w:tcW w:w="4147" w:type="dxa"/>
          </w:tcPr>
          <w:p w14:paraId="6E76607C" w14:textId="340B606C" w:rsidR="001E2D8F" w:rsidRPr="001E2D8F" w:rsidRDefault="001E2D8F" w:rsidP="001E2D8F">
            <w:r w:rsidRPr="001E2D8F">
              <w:t>Les informations sont-elles fiables</w:t>
            </w:r>
            <w:r w:rsidRPr="001E2D8F">
              <w:t> ?</w:t>
            </w:r>
          </w:p>
        </w:tc>
        <w:tc>
          <w:tcPr>
            <w:tcW w:w="4176" w:type="dxa"/>
          </w:tcPr>
          <w:p w14:paraId="4E606EA8" w14:textId="77777777" w:rsidR="001E2D8F" w:rsidRPr="001E2D8F" w:rsidRDefault="001E2D8F" w:rsidP="001E2D8F">
            <w:r w:rsidRPr="001E2D8F">
              <w:t>Rapport de vérification</w:t>
            </w:r>
          </w:p>
        </w:tc>
      </w:tr>
      <w:tr w:rsidR="001E2D8F" w:rsidRPr="001E2D8F" w14:paraId="57BD58DB" w14:textId="77777777" w:rsidTr="001E2D8F">
        <w:tc>
          <w:tcPr>
            <w:tcW w:w="2045" w:type="dxa"/>
          </w:tcPr>
          <w:p w14:paraId="68AF559D" w14:textId="77777777" w:rsidR="001E2D8F" w:rsidRPr="001E2D8F" w:rsidRDefault="001E2D8F" w:rsidP="001E2D8F">
            <w:r w:rsidRPr="001E2D8F">
              <w:lastRenderedPageBreak/>
              <w:t>9. Protocole et cession</w:t>
            </w:r>
          </w:p>
        </w:tc>
        <w:tc>
          <w:tcPr>
            <w:tcW w:w="4147" w:type="dxa"/>
          </w:tcPr>
          <w:p w14:paraId="29745DE6" w14:textId="2508835D" w:rsidR="001E2D8F" w:rsidRPr="001E2D8F" w:rsidRDefault="001E2D8F" w:rsidP="001E2D8F">
            <w:r w:rsidRPr="001E2D8F">
              <w:t>Quelles conditions pour conclure</w:t>
            </w:r>
            <w:r w:rsidRPr="001E2D8F">
              <w:t> ?</w:t>
            </w:r>
          </w:p>
        </w:tc>
        <w:tc>
          <w:tcPr>
            <w:tcW w:w="4176" w:type="dxa"/>
          </w:tcPr>
          <w:p w14:paraId="70430FAD" w14:textId="77777777" w:rsidR="001E2D8F" w:rsidRPr="001E2D8F" w:rsidRDefault="001E2D8F" w:rsidP="001E2D8F">
            <w:r w:rsidRPr="001E2D8F">
              <w:t>Actes et calendrier</w:t>
            </w:r>
          </w:p>
        </w:tc>
      </w:tr>
      <w:tr w:rsidR="001E2D8F" w:rsidRPr="001E2D8F" w14:paraId="3AB08117" w14:textId="77777777" w:rsidTr="001E2D8F">
        <w:tc>
          <w:tcPr>
            <w:tcW w:w="2045" w:type="dxa"/>
          </w:tcPr>
          <w:p w14:paraId="1606B0E3" w14:textId="77777777" w:rsidR="001E2D8F" w:rsidRPr="001E2D8F" w:rsidRDefault="001E2D8F" w:rsidP="001E2D8F">
            <w:r w:rsidRPr="001E2D8F">
              <w:t>10. Prise en main</w:t>
            </w:r>
          </w:p>
        </w:tc>
        <w:tc>
          <w:tcPr>
            <w:tcW w:w="4147" w:type="dxa"/>
          </w:tcPr>
          <w:p w14:paraId="19BCBA73" w14:textId="03CBB1F4" w:rsidR="001E2D8F" w:rsidRPr="001E2D8F" w:rsidRDefault="001E2D8F" w:rsidP="001E2D8F">
            <w:r w:rsidRPr="001E2D8F">
              <w:t>Comment maintenir et améliorer l’activité</w:t>
            </w:r>
            <w:r w:rsidRPr="001E2D8F">
              <w:t> ?</w:t>
            </w:r>
          </w:p>
        </w:tc>
        <w:tc>
          <w:tcPr>
            <w:tcW w:w="4176" w:type="dxa"/>
          </w:tcPr>
          <w:p w14:paraId="78499A47" w14:textId="77777777" w:rsidR="001E2D8F" w:rsidRPr="001E2D8F" w:rsidRDefault="001E2D8F" w:rsidP="001E2D8F">
            <w:r w:rsidRPr="001E2D8F">
              <w:t>Budgets et tableau de bord</w:t>
            </w:r>
          </w:p>
        </w:tc>
      </w:tr>
    </w:tbl>
    <w:p w14:paraId="20552D65" w14:textId="77777777" w:rsidR="001E2D8F" w:rsidRDefault="001E2D8F" w:rsidP="001E2D8F">
      <w:pPr>
        <w:spacing w:after="0" w:line="240" w:lineRule="auto"/>
      </w:pPr>
    </w:p>
    <w:p w14:paraId="7EBB2D97" w14:textId="77777777" w:rsidR="001E2D8F" w:rsidRDefault="001E2D8F" w:rsidP="001E2D8F">
      <w:pPr>
        <w:spacing w:after="0" w:line="240" w:lineRule="auto"/>
      </w:pPr>
      <w:r>
        <w:t>Les étapes comportent des retours en arrière. Un audit peut conduire à réviser la valorisation, le prix ou le financement. Selon l’opération, certaines vérifications précèdent la première offre et d’autres suivent un protocole assorti de conditions.</w:t>
      </w:r>
    </w:p>
    <w:p w14:paraId="6DD0F902" w14:textId="77777777" w:rsidR="001E2D8F" w:rsidRDefault="001E2D8F" w:rsidP="001E2D8F">
      <w:pPr>
        <w:pStyle w:val="Titre2"/>
        <w:spacing w:before="0" w:after="0" w:line="240" w:lineRule="auto"/>
      </w:pPr>
      <w:r>
        <w:t>1.3- Fixer des critères de poursuite</w:t>
      </w:r>
    </w:p>
    <w:p w14:paraId="04EDA503" w14:textId="7563DDDD" w:rsidR="001E2D8F" w:rsidRDefault="001E2D8F" w:rsidP="001E2D8F">
      <w:pPr>
        <w:spacing w:after="0" w:line="240" w:lineRule="auto"/>
      </w:pPr>
      <w:r>
        <w:t>La décision de continuer dépend de critères explicites</w:t>
      </w:r>
      <w:r>
        <w:t> :</w:t>
      </w:r>
      <w:r>
        <w:t xml:space="preserve"> rentabilité après retraitements, dépendance aux clients, montant des investissements, capacité de financement et compatibilité avec le projet. Chaque risque majeur doit être chiffré, traité ou accepté en connaissance de cause.</w:t>
      </w:r>
    </w:p>
    <w:p w14:paraId="37842B44" w14:textId="77777777" w:rsidR="001E2D8F" w:rsidRDefault="001E2D8F" w:rsidP="001E2D8F">
      <w:pPr>
        <w:spacing w:after="0" w:line="240" w:lineRule="auto"/>
      </w:pPr>
    </w:p>
    <w:p w14:paraId="2BE00B21" w14:textId="37043579" w:rsidR="001E2D8F" w:rsidRDefault="001E2D8F" w:rsidP="001E2D8F">
      <w:pPr>
        <w:spacing w:after="0" w:line="240" w:lineRule="auto"/>
      </w:pPr>
    </w:p>
    <w:p w14:paraId="4D17BCD1" w14:textId="77777777" w:rsidR="001E2D8F" w:rsidRDefault="001E2D8F" w:rsidP="001E2D8F">
      <w:pPr>
        <w:pStyle w:val="Titre1"/>
        <w:spacing w:before="0" w:after="0" w:line="240" w:lineRule="auto"/>
      </w:pPr>
      <w:r>
        <w:t>2- Collecter et fiabiliser les informations</w:t>
      </w:r>
    </w:p>
    <w:p w14:paraId="22B370E0" w14:textId="77777777" w:rsidR="001E2D8F" w:rsidRDefault="001E2D8F" w:rsidP="001E2D8F">
      <w:pPr>
        <w:pStyle w:val="Titre2"/>
        <w:spacing w:before="0" w:after="0" w:line="240" w:lineRule="auto"/>
      </w:pPr>
      <w:r>
        <w:t>2.1- Préparer le premier contact</w:t>
      </w:r>
    </w:p>
    <w:p w14:paraId="58FDF7C6" w14:textId="77777777" w:rsidR="001E2D8F" w:rsidRDefault="001E2D8F" w:rsidP="001E2D8F">
      <w:pPr>
        <w:spacing w:after="0" w:line="240" w:lineRule="auto"/>
      </w:pPr>
      <w:r>
        <w:t>Le premier entretien précise le motif de la cession, le périmètre proposé, le calendrier et le rôle du dirigeant dans l’entreprise. Le repreneur demande des documents avant de confirmer les conclusions. Une affirmation commerciale ou une explication orale constitue une piste à vérifier.</w:t>
      </w:r>
    </w:p>
    <w:p w14:paraId="22173BD3" w14:textId="77777777" w:rsidR="001E2D8F" w:rsidRDefault="001E2D8F" w:rsidP="001E2D8F">
      <w:pPr>
        <w:spacing w:after="0" w:line="240" w:lineRule="auto"/>
      </w:pPr>
      <w:r>
        <w:t>Les négociations sont libres, mais doivent respecter la bonne foi. L’utilisation ou la divulgation non autorisée d’une information confidentielle obtenue pendant les négociations engage la responsabilité de son auteur [1] [2]. Un accord de confidentialité organise les destinataires autorisés, les usages admis et la restitution des documents.</w:t>
      </w:r>
    </w:p>
    <w:p w14:paraId="705EDFC5" w14:textId="77777777" w:rsidR="001E2D8F" w:rsidRDefault="001E2D8F" w:rsidP="001E2D8F">
      <w:pPr>
        <w:spacing w:after="0" w:line="240" w:lineRule="auto"/>
      </w:pPr>
      <w:r>
        <w:t>Une lettre d’intention peut cadrer la discussion sur le prix, le périmètre et les vérifications à réaliser. Sa portée dépend de sa rédaction. Les engagements de confidentialité ou d’exclusivité peuvent avoir une force obligatoire propre.</w:t>
      </w:r>
    </w:p>
    <w:p w14:paraId="02BB8BC5" w14:textId="77777777" w:rsidR="001E2D8F" w:rsidRDefault="001E2D8F" w:rsidP="001E2D8F">
      <w:pPr>
        <w:pStyle w:val="Titre2"/>
        <w:spacing w:before="0" w:after="0" w:line="240" w:lineRule="auto"/>
      </w:pPr>
      <w:r>
        <w:t>2.2- Constituer un dossier de travail</w:t>
      </w:r>
    </w:p>
    <w:tbl>
      <w:tblPr>
        <w:tblStyle w:val="Grilledutableau"/>
        <w:tblW w:w="0" w:type="auto"/>
        <w:tblLayout w:type="fixed"/>
        <w:tblLook w:val="04A0" w:firstRow="1" w:lastRow="0" w:firstColumn="1" w:lastColumn="0" w:noHBand="0" w:noVBand="1"/>
      </w:tblPr>
      <w:tblGrid>
        <w:gridCol w:w="2045"/>
        <w:gridCol w:w="4147"/>
        <w:gridCol w:w="4176"/>
      </w:tblGrid>
      <w:tr w:rsidR="001E2D8F" w:rsidRPr="001E2D8F" w14:paraId="527989A9" w14:textId="77777777" w:rsidTr="001E2D8F">
        <w:trPr>
          <w:tblHeader/>
        </w:trPr>
        <w:tc>
          <w:tcPr>
            <w:tcW w:w="2045" w:type="dxa"/>
          </w:tcPr>
          <w:p w14:paraId="6FEDBA23" w14:textId="77777777" w:rsidR="001E2D8F" w:rsidRPr="001E2D8F" w:rsidRDefault="001E2D8F" w:rsidP="001E2D8F">
            <w:pPr>
              <w:jc w:val="left"/>
              <w:rPr>
                <w:rFonts w:ascii="Calibri" w:hAnsi="Calibri" w:cs="Calibri"/>
                <w:sz w:val="20"/>
              </w:rPr>
            </w:pPr>
            <w:r w:rsidRPr="001E2D8F">
              <w:rPr>
                <w:rFonts w:ascii="Calibri" w:hAnsi="Calibri" w:cs="Calibri"/>
                <w:b/>
                <w:sz w:val="20"/>
              </w:rPr>
              <w:t>Domaine</w:t>
            </w:r>
          </w:p>
        </w:tc>
        <w:tc>
          <w:tcPr>
            <w:tcW w:w="4147" w:type="dxa"/>
          </w:tcPr>
          <w:p w14:paraId="0E0ACC0D" w14:textId="77777777" w:rsidR="001E2D8F" w:rsidRPr="001E2D8F" w:rsidRDefault="001E2D8F" w:rsidP="001E2D8F">
            <w:pPr>
              <w:jc w:val="left"/>
              <w:rPr>
                <w:rFonts w:ascii="Calibri" w:hAnsi="Calibri" w:cs="Calibri"/>
                <w:sz w:val="20"/>
              </w:rPr>
            </w:pPr>
            <w:r w:rsidRPr="001E2D8F">
              <w:rPr>
                <w:rFonts w:ascii="Calibri" w:hAnsi="Calibri" w:cs="Calibri"/>
                <w:b/>
                <w:sz w:val="20"/>
              </w:rPr>
              <w:t>Documents à obtenir</w:t>
            </w:r>
          </w:p>
        </w:tc>
        <w:tc>
          <w:tcPr>
            <w:tcW w:w="4176" w:type="dxa"/>
          </w:tcPr>
          <w:p w14:paraId="4F42D887" w14:textId="77777777" w:rsidR="001E2D8F" w:rsidRPr="001E2D8F" w:rsidRDefault="001E2D8F" w:rsidP="001E2D8F">
            <w:pPr>
              <w:jc w:val="left"/>
              <w:rPr>
                <w:rFonts w:ascii="Calibri" w:hAnsi="Calibri" w:cs="Calibri"/>
                <w:sz w:val="20"/>
              </w:rPr>
            </w:pPr>
            <w:r w:rsidRPr="001E2D8F">
              <w:rPr>
                <w:rFonts w:ascii="Calibri" w:hAnsi="Calibri" w:cs="Calibri"/>
                <w:b/>
                <w:sz w:val="20"/>
              </w:rPr>
              <w:t>Utilité pour le contrôle de gestion</w:t>
            </w:r>
          </w:p>
        </w:tc>
      </w:tr>
      <w:tr w:rsidR="001E2D8F" w:rsidRPr="001E2D8F" w14:paraId="7D7B1456" w14:textId="77777777" w:rsidTr="001E2D8F">
        <w:tc>
          <w:tcPr>
            <w:tcW w:w="2045" w:type="dxa"/>
          </w:tcPr>
          <w:p w14:paraId="1BA2F156" w14:textId="77777777" w:rsidR="001E2D8F" w:rsidRPr="001E2D8F" w:rsidRDefault="001E2D8F" w:rsidP="001E2D8F">
            <w:pPr>
              <w:jc w:val="left"/>
              <w:rPr>
                <w:rFonts w:ascii="Calibri" w:hAnsi="Calibri" w:cs="Calibri"/>
                <w:sz w:val="20"/>
              </w:rPr>
            </w:pPr>
            <w:r w:rsidRPr="001E2D8F">
              <w:rPr>
                <w:rFonts w:ascii="Calibri" w:hAnsi="Calibri" w:cs="Calibri"/>
                <w:sz w:val="20"/>
              </w:rPr>
              <w:t>Comptabilité et finance</w:t>
            </w:r>
          </w:p>
        </w:tc>
        <w:tc>
          <w:tcPr>
            <w:tcW w:w="4147" w:type="dxa"/>
          </w:tcPr>
          <w:p w14:paraId="55113B05" w14:textId="77777777" w:rsidR="001E2D8F" w:rsidRPr="001E2D8F" w:rsidRDefault="001E2D8F" w:rsidP="001E2D8F">
            <w:pPr>
              <w:jc w:val="left"/>
              <w:rPr>
                <w:rFonts w:ascii="Calibri" w:hAnsi="Calibri" w:cs="Calibri"/>
                <w:sz w:val="20"/>
              </w:rPr>
            </w:pPr>
            <w:r w:rsidRPr="001E2D8F">
              <w:rPr>
                <w:rFonts w:ascii="Calibri" w:hAnsi="Calibri" w:cs="Calibri"/>
                <w:sz w:val="20"/>
              </w:rPr>
              <w:t>Comptes annuels sur 3 à 5 ans, balance récente, détail des dettes</w:t>
            </w:r>
          </w:p>
        </w:tc>
        <w:tc>
          <w:tcPr>
            <w:tcW w:w="4176" w:type="dxa"/>
          </w:tcPr>
          <w:p w14:paraId="1112134C" w14:textId="77777777" w:rsidR="001E2D8F" w:rsidRPr="001E2D8F" w:rsidRDefault="001E2D8F" w:rsidP="001E2D8F">
            <w:pPr>
              <w:jc w:val="left"/>
              <w:rPr>
                <w:rFonts w:ascii="Calibri" w:hAnsi="Calibri" w:cs="Calibri"/>
                <w:sz w:val="20"/>
              </w:rPr>
            </w:pPr>
            <w:r w:rsidRPr="001E2D8F">
              <w:rPr>
                <w:rFonts w:ascii="Calibri" w:hAnsi="Calibri" w:cs="Calibri"/>
                <w:sz w:val="20"/>
              </w:rPr>
              <w:t>Évolution des résultats et financement</w:t>
            </w:r>
          </w:p>
        </w:tc>
      </w:tr>
      <w:tr w:rsidR="001E2D8F" w:rsidRPr="001E2D8F" w14:paraId="0A9BBF04" w14:textId="77777777" w:rsidTr="001E2D8F">
        <w:tc>
          <w:tcPr>
            <w:tcW w:w="2045" w:type="dxa"/>
          </w:tcPr>
          <w:p w14:paraId="75C81D40" w14:textId="77777777" w:rsidR="001E2D8F" w:rsidRPr="001E2D8F" w:rsidRDefault="001E2D8F" w:rsidP="001E2D8F">
            <w:pPr>
              <w:jc w:val="left"/>
              <w:rPr>
                <w:rFonts w:ascii="Calibri" w:hAnsi="Calibri" w:cs="Calibri"/>
                <w:sz w:val="20"/>
              </w:rPr>
            </w:pPr>
            <w:r w:rsidRPr="001E2D8F">
              <w:rPr>
                <w:rFonts w:ascii="Calibri" w:hAnsi="Calibri" w:cs="Calibri"/>
                <w:sz w:val="20"/>
              </w:rPr>
              <w:t>Ventes</w:t>
            </w:r>
          </w:p>
        </w:tc>
        <w:tc>
          <w:tcPr>
            <w:tcW w:w="4147" w:type="dxa"/>
          </w:tcPr>
          <w:p w14:paraId="191723C0" w14:textId="77777777" w:rsidR="001E2D8F" w:rsidRPr="001E2D8F" w:rsidRDefault="001E2D8F" w:rsidP="001E2D8F">
            <w:pPr>
              <w:jc w:val="left"/>
              <w:rPr>
                <w:rFonts w:ascii="Calibri" w:hAnsi="Calibri" w:cs="Calibri"/>
                <w:sz w:val="20"/>
              </w:rPr>
            </w:pPr>
            <w:r w:rsidRPr="001E2D8F">
              <w:rPr>
                <w:rFonts w:ascii="Calibri" w:hAnsi="Calibri" w:cs="Calibri"/>
                <w:sz w:val="20"/>
              </w:rPr>
              <w:t>Ventes par client et produit, contrats, carnet de commandes</w:t>
            </w:r>
          </w:p>
        </w:tc>
        <w:tc>
          <w:tcPr>
            <w:tcW w:w="4176" w:type="dxa"/>
          </w:tcPr>
          <w:p w14:paraId="27C34E33" w14:textId="77777777" w:rsidR="001E2D8F" w:rsidRPr="001E2D8F" w:rsidRDefault="001E2D8F" w:rsidP="001E2D8F">
            <w:pPr>
              <w:jc w:val="left"/>
              <w:rPr>
                <w:rFonts w:ascii="Calibri" w:hAnsi="Calibri" w:cs="Calibri"/>
                <w:sz w:val="20"/>
              </w:rPr>
            </w:pPr>
            <w:r w:rsidRPr="001E2D8F">
              <w:rPr>
                <w:rFonts w:ascii="Calibri" w:hAnsi="Calibri" w:cs="Calibri"/>
                <w:sz w:val="20"/>
              </w:rPr>
              <w:t>Marges, concentration et revenus futurs</w:t>
            </w:r>
          </w:p>
        </w:tc>
      </w:tr>
      <w:tr w:rsidR="001E2D8F" w:rsidRPr="001E2D8F" w14:paraId="25AEBD47" w14:textId="77777777" w:rsidTr="001E2D8F">
        <w:tc>
          <w:tcPr>
            <w:tcW w:w="2045" w:type="dxa"/>
          </w:tcPr>
          <w:p w14:paraId="13FBB0AE" w14:textId="77777777" w:rsidR="001E2D8F" w:rsidRPr="001E2D8F" w:rsidRDefault="001E2D8F" w:rsidP="001E2D8F">
            <w:pPr>
              <w:jc w:val="left"/>
              <w:rPr>
                <w:rFonts w:ascii="Calibri" w:hAnsi="Calibri" w:cs="Calibri"/>
                <w:sz w:val="20"/>
              </w:rPr>
            </w:pPr>
            <w:r w:rsidRPr="001E2D8F">
              <w:rPr>
                <w:rFonts w:ascii="Calibri" w:hAnsi="Calibri" w:cs="Calibri"/>
                <w:sz w:val="20"/>
              </w:rPr>
              <w:t>Achats</w:t>
            </w:r>
          </w:p>
        </w:tc>
        <w:tc>
          <w:tcPr>
            <w:tcW w:w="4147" w:type="dxa"/>
          </w:tcPr>
          <w:p w14:paraId="39B5CDD7" w14:textId="77777777" w:rsidR="001E2D8F" w:rsidRPr="001E2D8F" w:rsidRDefault="001E2D8F" w:rsidP="001E2D8F">
            <w:pPr>
              <w:jc w:val="left"/>
              <w:rPr>
                <w:rFonts w:ascii="Calibri" w:hAnsi="Calibri" w:cs="Calibri"/>
                <w:sz w:val="20"/>
              </w:rPr>
            </w:pPr>
            <w:r w:rsidRPr="001E2D8F">
              <w:rPr>
                <w:rFonts w:ascii="Calibri" w:hAnsi="Calibri" w:cs="Calibri"/>
                <w:sz w:val="20"/>
              </w:rPr>
              <w:t>Contrats, prix, délais et dépendance aux fournisseurs</w:t>
            </w:r>
          </w:p>
        </w:tc>
        <w:tc>
          <w:tcPr>
            <w:tcW w:w="4176" w:type="dxa"/>
          </w:tcPr>
          <w:p w14:paraId="0EA687A7" w14:textId="77777777" w:rsidR="001E2D8F" w:rsidRPr="001E2D8F" w:rsidRDefault="001E2D8F" w:rsidP="001E2D8F">
            <w:pPr>
              <w:jc w:val="left"/>
              <w:rPr>
                <w:rFonts w:ascii="Calibri" w:hAnsi="Calibri" w:cs="Calibri"/>
                <w:sz w:val="20"/>
              </w:rPr>
            </w:pPr>
            <w:r w:rsidRPr="001E2D8F">
              <w:rPr>
                <w:rFonts w:ascii="Calibri" w:hAnsi="Calibri" w:cs="Calibri"/>
                <w:sz w:val="20"/>
              </w:rPr>
              <w:t>Coût des approvisionnements et risques</w:t>
            </w:r>
          </w:p>
        </w:tc>
      </w:tr>
      <w:tr w:rsidR="001E2D8F" w:rsidRPr="001E2D8F" w14:paraId="2C7CCF29" w14:textId="77777777" w:rsidTr="001E2D8F">
        <w:tc>
          <w:tcPr>
            <w:tcW w:w="2045" w:type="dxa"/>
          </w:tcPr>
          <w:p w14:paraId="3BA01BB1" w14:textId="77777777" w:rsidR="001E2D8F" w:rsidRPr="001E2D8F" w:rsidRDefault="001E2D8F" w:rsidP="001E2D8F">
            <w:pPr>
              <w:jc w:val="left"/>
              <w:rPr>
                <w:rFonts w:ascii="Calibri" w:hAnsi="Calibri" w:cs="Calibri"/>
                <w:sz w:val="20"/>
              </w:rPr>
            </w:pPr>
            <w:r w:rsidRPr="001E2D8F">
              <w:rPr>
                <w:rFonts w:ascii="Calibri" w:hAnsi="Calibri" w:cs="Calibri"/>
                <w:sz w:val="20"/>
              </w:rPr>
              <w:t>Production</w:t>
            </w:r>
          </w:p>
        </w:tc>
        <w:tc>
          <w:tcPr>
            <w:tcW w:w="4147" w:type="dxa"/>
          </w:tcPr>
          <w:p w14:paraId="08533969" w14:textId="77777777" w:rsidR="001E2D8F" w:rsidRPr="001E2D8F" w:rsidRDefault="001E2D8F" w:rsidP="001E2D8F">
            <w:pPr>
              <w:jc w:val="left"/>
              <w:rPr>
                <w:rFonts w:ascii="Calibri" w:hAnsi="Calibri" w:cs="Calibri"/>
                <w:sz w:val="20"/>
              </w:rPr>
            </w:pPr>
            <w:r w:rsidRPr="001E2D8F">
              <w:rPr>
                <w:rFonts w:ascii="Calibri" w:hAnsi="Calibri" w:cs="Calibri"/>
                <w:sz w:val="20"/>
              </w:rPr>
              <w:t>Volumes, temps, rebuts, maintenance, capacité</w:t>
            </w:r>
          </w:p>
        </w:tc>
        <w:tc>
          <w:tcPr>
            <w:tcW w:w="4176" w:type="dxa"/>
          </w:tcPr>
          <w:p w14:paraId="7BCE1807" w14:textId="77777777" w:rsidR="001E2D8F" w:rsidRPr="001E2D8F" w:rsidRDefault="001E2D8F" w:rsidP="001E2D8F">
            <w:pPr>
              <w:jc w:val="left"/>
              <w:rPr>
                <w:rFonts w:ascii="Calibri" w:hAnsi="Calibri" w:cs="Calibri"/>
                <w:sz w:val="20"/>
              </w:rPr>
            </w:pPr>
            <w:r w:rsidRPr="001E2D8F">
              <w:rPr>
                <w:rFonts w:ascii="Calibri" w:hAnsi="Calibri" w:cs="Calibri"/>
                <w:sz w:val="20"/>
              </w:rPr>
              <w:t>Productivité et investissements nécessaires</w:t>
            </w:r>
          </w:p>
        </w:tc>
      </w:tr>
      <w:tr w:rsidR="001E2D8F" w:rsidRPr="001E2D8F" w14:paraId="24A75854" w14:textId="77777777" w:rsidTr="001E2D8F">
        <w:tc>
          <w:tcPr>
            <w:tcW w:w="2045" w:type="dxa"/>
          </w:tcPr>
          <w:p w14:paraId="4B24333B" w14:textId="77777777" w:rsidR="001E2D8F" w:rsidRPr="001E2D8F" w:rsidRDefault="001E2D8F" w:rsidP="001E2D8F">
            <w:pPr>
              <w:jc w:val="left"/>
              <w:rPr>
                <w:rFonts w:ascii="Calibri" w:hAnsi="Calibri" w:cs="Calibri"/>
                <w:sz w:val="20"/>
              </w:rPr>
            </w:pPr>
            <w:r w:rsidRPr="001E2D8F">
              <w:rPr>
                <w:rFonts w:ascii="Calibri" w:hAnsi="Calibri" w:cs="Calibri"/>
                <w:sz w:val="20"/>
              </w:rPr>
              <w:t>Personnel</w:t>
            </w:r>
          </w:p>
        </w:tc>
        <w:tc>
          <w:tcPr>
            <w:tcW w:w="4147" w:type="dxa"/>
          </w:tcPr>
          <w:p w14:paraId="46CE4862" w14:textId="77777777" w:rsidR="001E2D8F" w:rsidRPr="001E2D8F" w:rsidRDefault="001E2D8F" w:rsidP="001E2D8F">
            <w:pPr>
              <w:jc w:val="left"/>
              <w:rPr>
                <w:rFonts w:ascii="Calibri" w:hAnsi="Calibri" w:cs="Calibri"/>
                <w:sz w:val="20"/>
              </w:rPr>
            </w:pPr>
            <w:r w:rsidRPr="001E2D8F">
              <w:rPr>
                <w:rFonts w:ascii="Calibri" w:hAnsi="Calibri" w:cs="Calibri"/>
                <w:sz w:val="20"/>
              </w:rPr>
              <w:t>Organigramme, effectifs, rémunérations, compétences</w:t>
            </w:r>
          </w:p>
        </w:tc>
        <w:tc>
          <w:tcPr>
            <w:tcW w:w="4176" w:type="dxa"/>
          </w:tcPr>
          <w:p w14:paraId="72BBAB4B" w14:textId="77777777" w:rsidR="001E2D8F" w:rsidRPr="001E2D8F" w:rsidRDefault="001E2D8F" w:rsidP="001E2D8F">
            <w:pPr>
              <w:jc w:val="left"/>
              <w:rPr>
                <w:rFonts w:ascii="Calibri" w:hAnsi="Calibri" w:cs="Calibri"/>
                <w:sz w:val="20"/>
              </w:rPr>
            </w:pPr>
            <w:r w:rsidRPr="001E2D8F">
              <w:rPr>
                <w:rFonts w:ascii="Calibri" w:hAnsi="Calibri" w:cs="Calibri"/>
                <w:sz w:val="20"/>
              </w:rPr>
              <w:t>Masse salariale et continuité des savoir-faire</w:t>
            </w:r>
          </w:p>
        </w:tc>
      </w:tr>
      <w:tr w:rsidR="001E2D8F" w:rsidRPr="001E2D8F" w14:paraId="067AC84B" w14:textId="77777777" w:rsidTr="001E2D8F">
        <w:tc>
          <w:tcPr>
            <w:tcW w:w="2045" w:type="dxa"/>
          </w:tcPr>
          <w:p w14:paraId="42F46090" w14:textId="77777777" w:rsidR="001E2D8F" w:rsidRPr="001E2D8F" w:rsidRDefault="001E2D8F" w:rsidP="001E2D8F">
            <w:pPr>
              <w:jc w:val="left"/>
              <w:rPr>
                <w:rFonts w:ascii="Calibri" w:hAnsi="Calibri" w:cs="Calibri"/>
                <w:sz w:val="20"/>
              </w:rPr>
            </w:pPr>
            <w:r w:rsidRPr="001E2D8F">
              <w:rPr>
                <w:rFonts w:ascii="Calibri" w:hAnsi="Calibri" w:cs="Calibri"/>
                <w:sz w:val="20"/>
              </w:rPr>
              <w:t>Cycle d’exploitation</w:t>
            </w:r>
          </w:p>
        </w:tc>
        <w:tc>
          <w:tcPr>
            <w:tcW w:w="4147" w:type="dxa"/>
          </w:tcPr>
          <w:p w14:paraId="34294A2E" w14:textId="77777777" w:rsidR="001E2D8F" w:rsidRPr="001E2D8F" w:rsidRDefault="001E2D8F" w:rsidP="001E2D8F">
            <w:pPr>
              <w:jc w:val="left"/>
              <w:rPr>
                <w:rFonts w:ascii="Calibri" w:hAnsi="Calibri" w:cs="Calibri"/>
                <w:sz w:val="20"/>
              </w:rPr>
            </w:pPr>
            <w:r w:rsidRPr="001E2D8F">
              <w:rPr>
                <w:rFonts w:ascii="Calibri" w:hAnsi="Calibri" w:cs="Calibri"/>
                <w:sz w:val="20"/>
              </w:rPr>
              <w:t>Stocks, créances, dettes, échéanciers et ancienneté</w:t>
            </w:r>
          </w:p>
        </w:tc>
        <w:tc>
          <w:tcPr>
            <w:tcW w:w="4176" w:type="dxa"/>
          </w:tcPr>
          <w:p w14:paraId="2F0FA6B2" w14:textId="77777777" w:rsidR="001E2D8F" w:rsidRPr="001E2D8F" w:rsidRDefault="001E2D8F" w:rsidP="001E2D8F">
            <w:pPr>
              <w:jc w:val="left"/>
              <w:rPr>
                <w:rFonts w:ascii="Calibri" w:hAnsi="Calibri" w:cs="Calibri"/>
                <w:sz w:val="20"/>
              </w:rPr>
            </w:pPr>
            <w:r w:rsidRPr="001E2D8F">
              <w:rPr>
                <w:rFonts w:ascii="Calibri" w:hAnsi="Calibri" w:cs="Calibri"/>
                <w:sz w:val="20"/>
              </w:rPr>
              <w:t>Besoin de financement et recouvrabilité</w:t>
            </w:r>
          </w:p>
        </w:tc>
      </w:tr>
      <w:tr w:rsidR="001E2D8F" w:rsidRPr="001E2D8F" w14:paraId="065291F2" w14:textId="77777777" w:rsidTr="001E2D8F">
        <w:tc>
          <w:tcPr>
            <w:tcW w:w="2045" w:type="dxa"/>
          </w:tcPr>
          <w:p w14:paraId="2F629F9E" w14:textId="77777777" w:rsidR="001E2D8F" w:rsidRPr="001E2D8F" w:rsidRDefault="001E2D8F" w:rsidP="001E2D8F">
            <w:pPr>
              <w:jc w:val="left"/>
              <w:rPr>
                <w:rFonts w:ascii="Calibri" w:hAnsi="Calibri" w:cs="Calibri"/>
                <w:sz w:val="20"/>
              </w:rPr>
            </w:pPr>
            <w:r w:rsidRPr="001E2D8F">
              <w:rPr>
                <w:rFonts w:ascii="Calibri" w:hAnsi="Calibri" w:cs="Calibri"/>
                <w:sz w:val="20"/>
              </w:rPr>
              <w:t>Juridique et risques</w:t>
            </w:r>
          </w:p>
        </w:tc>
        <w:tc>
          <w:tcPr>
            <w:tcW w:w="4147" w:type="dxa"/>
          </w:tcPr>
          <w:p w14:paraId="759236FA" w14:textId="77777777" w:rsidR="001E2D8F" w:rsidRPr="001E2D8F" w:rsidRDefault="001E2D8F" w:rsidP="001E2D8F">
            <w:pPr>
              <w:jc w:val="left"/>
              <w:rPr>
                <w:rFonts w:ascii="Calibri" w:hAnsi="Calibri" w:cs="Calibri"/>
                <w:sz w:val="20"/>
              </w:rPr>
            </w:pPr>
            <w:r w:rsidRPr="001E2D8F">
              <w:rPr>
                <w:rFonts w:ascii="Calibri" w:hAnsi="Calibri" w:cs="Calibri"/>
                <w:sz w:val="20"/>
              </w:rPr>
              <w:t>Statuts, baux, contrats, litiges, garanties</w:t>
            </w:r>
          </w:p>
        </w:tc>
        <w:tc>
          <w:tcPr>
            <w:tcW w:w="4176" w:type="dxa"/>
          </w:tcPr>
          <w:p w14:paraId="05541913" w14:textId="77777777" w:rsidR="001E2D8F" w:rsidRPr="001E2D8F" w:rsidRDefault="001E2D8F" w:rsidP="001E2D8F">
            <w:pPr>
              <w:jc w:val="left"/>
              <w:rPr>
                <w:rFonts w:ascii="Calibri" w:hAnsi="Calibri" w:cs="Calibri"/>
                <w:sz w:val="20"/>
              </w:rPr>
            </w:pPr>
            <w:r w:rsidRPr="001E2D8F">
              <w:rPr>
                <w:rFonts w:ascii="Calibri" w:hAnsi="Calibri" w:cs="Calibri"/>
                <w:sz w:val="20"/>
              </w:rPr>
              <w:t>Engagements et charges potentielles</w:t>
            </w:r>
          </w:p>
        </w:tc>
      </w:tr>
      <w:tr w:rsidR="001E2D8F" w:rsidRPr="001E2D8F" w14:paraId="27EAC7E1" w14:textId="77777777" w:rsidTr="001E2D8F">
        <w:tc>
          <w:tcPr>
            <w:tcW w:w="2045" w:type="dxa"/>
          </w:tcPr>
          <w:p w14:paraId="28B5B28E" w14:textId="77777777" w:rsidR="001E2D8F" w:rsidRPr="001E2D8F" w:rsidRDefault="001E2D8F" w:rsidP="001E2D8F">
            <w:pPr>
              <w:jc w:val="left"/>
              <w:rPr>
                <w:rFonts w:ascii="Calibri" w:hAnsi="Calibri" w:cs="Calibri"/>
                <w:sz w:val="20"/>
              </w:rPr>
            </w:pPr>
            <w:r w:rsidRPr="001E2D8F">
              <w:rPr>
                <w:rFonts w:ascii="Calibri" w:hAnsi="Calibri" w:cs="Calibri"/>
                <w:sz w:val="20"/>
              </w:rPr>
              <w:t>Pilotage et numérique</w:t>
            </w:r>
          </w:p>
        </w:tc>
        <w:tc>
          <w:tcPr>
            <w:tcW w:w="4147" w:type="dxa"/>
          </w:tcPr>
          <w:p w14:paraId="5D8FA98E" w14:textId="77777777" w:rsidR="001E2D8F" w:rsidRPr="001E2D8F" w:rsidRDefault="001E2D8F" w:rsidP="001E2D8F">
            <w:pPr>
              <w:jc w:val="left"/>
              <w:rPr>
                <w:rFonts w:ascii="Calibri" w:hAnsi="Calibri" w:cs="Calibri"/>
                <w:sz w:val="20"/>
              </w:rPr>
            </w:pPr>
            <w:r w:rsidRPr="001E2D8F">
              <w:rPr>
                <w:rFonts w:ascii="Calibri" w:hAnsi="Calibri" w:cs="Calibri"/>
                <w:sz w:val="20"/>
              </w:rPr>
              <w:t>Budgets, indicateurs, logiciels, droits d’accès, sauvegardes</w:t>
            </w:r>
          </w:p>
        </w:tc>
        <w:tc>
          <w:tcPr>
            <w:tcW w:w="4176" w:type="dxa"/>
          </w:tcPr>
          <w:p w14:paraId="6B68A0B9" w14:textId="77777777" w:rsidR="001E2D8F" w:rsidRPr="001E2D8F" w:rsidRDefault="001E2D8F" w:rsidP="001E2D8F">
            <w:pPr>
              <w:jc w:val="left"/>
              <w:rPr>
                <w:rFonts w:ascii="Calibri" w:hAnsi="Calibri" w:cs="Calibri"/>
                <w:sz w:val="20"/>
              </w:rPr>
            </w:pPr>
            <w:r w:rsidRPr="001E2D8F">
              <w:rPr>
                <w:rFonts w:ascii="Calibri" w:hAnsi="Calibri" w:cs="Calibri"/>
                <w:sz w:val="20"/>
              </w:rPr>
              <w:t>Fiabilité des données et continuité d’activité</w:t>
            </w:r>
          </w:p>
        </w:tc>
      </w:tr>
    </w:tbl>
    <w:p w14:paraId="7502C127" w14:textId="77777777" w:rsidR="001E2D8F" w:rsidRDefault="001E2D8F" w:rsidP="001E2D8F">
      <w:pPr>
        <w:spacing w:after="0" w:line="240" w:lineRule="auto"/>
      </w:pPr>
    </w:p>
    <w:p w14:paraId="05B8DAC6" w14:textId="77777777" w:rsidR="001E2D8F" w:rsidRDefault="001E2D8F" w:rsidP="001E2D8F">
      <w:pPr>
        <w:pStyle w:val="Titre2"/>
        <w:spacing w:before="0" w:after="0" w:line="240" w:lineRule="auto"/>
      </w:pPr>
      <w:r>
        <w:t>2.3- Croiser les données</w:t>
      </w:r>
    </w:p>
    <w:p w14:paraId="1FAD9D19" w14:textId="77777777" w:rsidR="001E2D8F" w:rsidRDefault="001E2D8F" w:rsidP="001E2D8F">
      <w:pPr>
        <w:spacing w:after="0" w:line="240" w:lineRule="auto"/>
      </w:pPr>
      <w:r>
        <w:t>Rapprocher le chiffre d’affaires comptable avec les ventes détaillées. Contrôler les créances par leur ancienneté et les règlements reçus après la clôture. Confronter les stocks aux inventaires physiques. Vérifier les soldes bancaires et leur disponibilité. Chaque retraitement conserve un justificatif, une date et une explication.</w:t>
      </w:r>
    </w:p>
    <w:p w14:paraId="19621AA2" w14:textId="77777777" w:rsidR="001E2D8F" w:rsidRDefault="001E2D8F" w:rsidP="001E2D8F">
      <w:pPr>
        <w:spacing w:after="0" w:line="240" w:lineRule="auto"/>
      </w:pPr>
    </w:p>
    <w:p w14:paraId="62708047" w14:textId="647C8E0B" w:rsidR="001E2D8F" w:rsidRDefault="001E2D8F" w:rsidP="001E2D8F">
      <w:pPr>
        <w:spacing w:after="0" w:line="240" w:lineRule="auto"/>
      </w:pPr>
    </w:p>
    <w:p w14:paraId="10F6067A" w14:textId="77777777" w:rsidR="001E2D8F" w:rsidRDefault="001E2D8F" w:rsidP="001E2D8F">
      <w:pPr>
        <w:pStyle w:val="Titre1"/>
        <w:spacing w:before="0" w:after="0" w:line="240" w:lineRule="auto"/>
      </w:pPr>
      <w:r>
        <w:lastRenderedPageBreak/>
        <w:t>3- Établir le diagnostic stratégique et opérationnel</w:t>
      </w:r>
    </w:p>
    <w:p w14:paraId="49633243" w14:textId="77777777" w:rsidR="001E2D8F" w:rsidRDefault="001E2D8F" w:rsidP="001E2D8F">
      <w:pPr>
        <w:pStyle w:val="Titre2"/>
        <w:spacing w:before="0" w:after="0" w:line="240" w:lineRule="auto"/>
      </w:pPr>
      <w:r>
        <w:t>3.1- Comprendre le métier et le marché</w:t>
      </w:r>
    </w:p>
    <w:p w14:paraId="7D8C1A2A" w14:textId="1A92C76C" w:rsidR="001E2D8F" w:rsidRDefault="001E2D8F" w:rsidP="001E2D8F">
      <w:pPr>
        <w:spacing w:after="0" w:line="240" w:lineRule="auto"/>
      </w:pPr>
      <w:r>
        <w:t>L’analyse porte sur les besoins des clients, la dynamique de la demande, les concurrents et les barrières à l’entrée. Les facteurs clés de succès sont les conditions à maîtriser pour rester compétitif</w:t>
      </w:r>
      <w:r>
        <w:t> :</w:t>
      </w:r>
      <w:r>
        <w:t xml:space="preserve"> coût, qualité, délai, innovation, proximité ou service. Leur importance dépend du métier.</w:t>
      </w:r>
    </w:p>
    <w:p w14:paraId="02D4B7B2" w14:textId="77777777" w:rsidR="001E2D8F" w:rsidRDefault="001E2D8F" w:rsidP="001E2D8F">
      <w:pPr>
        <w:spacing w:after="0" w:line="240" w:lineRule="auto"/>
      </w:pPr>
      <w:r>
        <w:t>La matrice des systèmes concurrentiels associe le potentiel de différenciation et l’importance des avantages de volume. Elle aide à comprendre l’origine possible de la performance sans déterminer, à elle seule, l’intérêt d’une reprise.</w:t>
      </w:r>
    </w:p>
    <w:tbl>
      <w:tblPr>
        <w:tblStyle w:val="Grilledutableau"/>
        <w:tblW w:w="0" w:type="auto"/>
        <w:tblLayout w:type="fixed"/>
        <w:tblLook w:val="04A0" w:firstRow="1" w:lastRow="0" w:firstColumn="1" w:lastColumn="0" w:noHBand="0" w:noVBand="1"/>
      </w:tblPr>
      <w:tblGrid>
        <w:gridCol w:w="2880"/>
        <w:gridCol w:w="1656"/>
        <w:gridCol w:w="2160"/>
        <w:gridCol w:w="3672"/>
      </w:tblGrid>
      <w:tr w:rsidR="001E2D8F" w:rsidRPr="001E2D8F" w14:paraId="78968E9F" w14:textId="77777777" w:rsidTr="001E2D8F">
        <w:trPr>
          <w:tblHeader/>
        </w:trPr>
        <w:tc>
          <w:tcPr>
            <w:tcW w:w="2880" w:type="dxa"/>
          </w:tcPr>
          <w:p w14:paraId="3597D3A6" w14:textId="77777777" w:rsidR="001E2D8F" w:rsidRPr="001E2D8F" w:rsidRDefault="001E2D8F" w:rsidP="001E2D8F">
            <w:pPr>
              <w:jc w:val="left"/>
              <w:rPr>
                <w:rFonts w:ascii="Calibri" w:hAnsi="Calibri" w:cs="Calibri"/>
                <w:sz w:val="20"/>
              </w:rPr>
            </w:pPr>
            <w:r w:rsidRPr="001E2D8F">
              <w:rPr>
                <w:rFonts w:ascii="Calibri" w:hAnsi="Calibri" w:cs="Calibri"/>
                <w:b/>
                <w:sz w:val="20"/>
              </w:rPr>
              <w:t>Situation</w:t>
            </w:r>
          </w:p>
        </w:tc>
        <w:tc>
          <w:tcPr>
            <w:tcW w:w="1656" w:type="dxa"/>
          </w:tcPr>
          <w:p w14:paraId="1C9F52B0" w14:textId="77777777" w:rsidR="001E2D8F" w:rsidRPr="001E2D8F" w:rsidRDefault="001E2D8F" w:rsidP="001E2D8F">
            <w:pPr>
              <w:jc w:val="left"/>
              <w:rPr>
                <w:rFonts w:ascii="Calibri" w:hAnsi="Calibri" w:cs="Calibri"/>
                <w:sz w:val="20"/>
              </w:rPr>
            </w:pPr>
            <w:r w:rsidRPr="001E2D8F">
              <w:rPr>
                <w:rFonts w:ascii="Calibri" w:hAnsi="Calibri" w:cs="Calibri"/>
                <w:b/>
                <w:sz w:val="20"/>
              </w:rPr>
              <w:t>Différenciation</w:t>
            </w:r>
          </w:p>
        </w:tc>
        <w:tc>
          <w:tcPr>
            <w:tcW w:w="2160" w:type="dxa"/>
          </w:tcPr>
          <w:p w14:paraId="2733EA14" w14:textId="77777777" w:rsidR="001E2D8F" w:rsidRPr="001E2D8F" w:rsidRDefault="001E2D8F" w:rsidP="001E2D8F">
            <w:pPr>
              <w:jc w:val="left"/>
              <w:rPr>
                <w:rFonts w:ascii="Calibri" w:hAnsi="Calibri" w:cs="Calibri"/>
                <w:sz w:val="20"/>
              </w:rPr>
            </w:pPr>
            <w:r w:rsidRPr="001E2D8F">
              <w:rPr>
                <w:rFonts w:ascii="Calibri" w:hAnsi="Calibri" w:cs="Calibri"/>
                <w:b/>
                <w:sz w:val="20"/>
              </w:rPr>
              <w:t>Avantage de volume</w:t>
            </w:r>
          </w:p>
        </w:tc>
        <w:tc>
          <w:tcPr>
            <w:tcW w:w="3672" w:type="dxa"/>
          </w:tcPr>
          <w:p w14:paraId="0DA7C754" w14:textId="77777777" w:rsidR="001E2D8F" w:rsidRPr="001E2D8F" w:rsidRDefault="001E2D8F" w:rsidP="001E2D8F">
            <w:pPr>
              <w:jc w:val="left"/>
              <w:rPr>
                <w:rFonts w:ascii="Calibri" w:hAnsi="Calibri" w:cs="Calibri"/>
                <w:sz w:val="20"/>
              </w:rPr>
            </w:pPr>
            <w:r w:rsidRPr="001E2D8F">
              <w:rPr>
                <w:rFonts w:ascii="Calibri" w:hAnsi="Calibri" w:cs="Calibri"/>
                <w:b/>
                <w:sz w:val="20"/>
              </w:rPr>
              <w:t>Conséquence à étudier</w:t>
            </w:r>
          </w:p>
        </w:tc>
      </w:tr>
      <w:tr w:rsidR="001E2D8F" w:rsidRPr="001E2D8F" w14:paraId="522A8562" w14:textId="77777777" w:rsidTr="001E2D8F">
        <w:tc>
          <w:tcPr>
            <w:tcW w:w="2880" w:type="dxa"/>
          </w:tcPr>
          <w:p w14:paraId="42EA50F0" w14:textId="77777777" w:rsidR="001E2D8F" w:rsidRPr="001E2D8F" w:rsidRDefault="001E2D8F" w:rsidP="001E2D8F">
            <w:pPr>
              <w:jc w:val="left"/>
              <w:rPr>
                <w:rFonts w:ascii="Calibri" w:hAnsi="Calibri" w:cs="Calibri"/>
                <w:sz w:val="20"/>
              </w:rPr>
            </w:pPr>
            <w:r w:rsidRPr="001E2D8F">
              <w:rPr>
                <w:rFonts w:ascii="Calibri" w:hAnsi="Calibri" w:cs="Calibri"/>
                <w:sz w:val="20"/>
              </w:rPr>
              <w:t>Fragmentation</w:t>
            </w:r>
          </w:p>
        </w:tc>
        <w:tc>
          <w:tcPr>
            <w:tcW w:w="1656" w:type="dxa"/>
          </w:tcPr>
          <w:p w14:paraId="322FE5AC" w14:textId="77777777" w:rsidR="001E2D8F" w:rsidRPr="001E2D8F" w:rsidRDefault="001E2D8F" w:rsidP="001E2D8F">
            <w:pPr>
              <w:jc w:val="left"/>
              <w:rPr>
                <w:rFonts w:ascii="Calibri" w:hAnsi="Calibri" w:cs="Calibri"/>
                <w:sz w:val="20"/>
              </w:rPr>
            </w:pPr>
            <w:r w:rsidRPr="001E2D8F">
              <w:rPr>
                <w:rFonts w:ascii="Calibri" w:hAnsi="Calibri" w:cs="Calibri"/>
                <w:sz w:val="20"/>
              </w:rPr>
              <w:t>Fort</w:t>
            </w:r>
          </w:p>
        </w:tc>
        <w:tc>
          <w:tcPr>
            <w:tcW w:w="2160" w:type="dxa"/>
          </w:tcPr>
          <w:p w14:paraId="728AD332" w14:textId="77777777" w:rsidR="001E2D8F" w:rsidRPr="001E2D8F" w:rsidRDefault="001E2D8F" w:rsidP="001E2D8F">
            <w:pPr>
              <w:jc w:val="left"/>
              <w:rPr>
                <w:rFonts w:ascii="Calibri" w:hAnsi="Calibri" w:cs="Calibri"/>
                <w:sz w:val="20"/>
              </w:rPr>
            </w:pPr>
            <w:r w:rsidRPr="001E2D8F">
              <w:rPr>
                <w:rFonts w:ascii="Calibri" w:hAnsi="Calibri" w:cs="Calibri"/>
                <w:sz w:val="20"/>
              </w:rPr>
              <w:t>Faible</w:t>
            </w:r>
          </w:p>
        </w:tc>
        <w:tc>
          <w:tcPr>
            <w:tcW w:w="3672" w:type="dxa"/>
          </w:tcPr>
          <w:p w14:paraId="52D50B97" w14:textId="77777777" w:rsidR="001E2D8F" w:rsidRPr="001E2D8F" w:rsidRDefault="001E2D8F" w:rsidP="001E2D8F">
            <w:pPr>
              <w:jc w:val="left"/>
              <w:rPr>
                <w:rFonts w:ascii="Calibri" w:hAnsi="Calibri" w:cs="Calibri"/>
                <w:sz w:val="20"/>
              </w:rPr>
            </w:pPr>
            <w:r w:rsidRPr="001E2D8F">
              <w:rPr>
                <w:rFonts w:ascii="Calibri" w:hAnsi="Calibri" w:cs="Calibri"/>
                <w:sz w:val="20"/>
              </w:rPr>
              <w:t>Concurrence locale ou par niches</w:t>
            </w:r>
          </w:p>
        </w:tc>
      </w:tr>
      <w:tr w:rsidR="001E2D8F" w:rsidRPr="001E2D8F" w14:paraId="275A1C33" w14:textId="77777777" w:rsidTr="001E2D8F">
        <w:tc>
          <w:tcPr>
            <w:tcW w:w="2880" w:type="dxa"/>
          </w:tcPr>
          <w:p w14:paraId="444BDF29" w14:textId="77777777" w:rsidR="001E2D8F" w:rsidRPr="001E2D8F" w:rsidRDefault="001E2D8F" w:rsidP="001E2D8F">
            <w:pPr>
              <w:jc w:val="left"/>
              <w:rPr>
                <w:rFonts w:ascii="Calibri" w:hAnsi="Calibri" w:cs="Calibri"/>
                <w:sz w:val="20"/>
              </w:rPr>
            </w:pPr>
            <w:r w:rsidRPr="001E2D8F">
              <w:rPr>
                <w:rFonts w:ascii="Calibri" w:hAnsi="Calibri" w:cs="Calibri"/>
                <w:sz w:val="20"/>
              </w:rPr>
              <w:t>Spécialisation</w:t>
            </w:r>
          </w:p>
        </w:tc>
        <w:tc>
          <w:tcPr>
            <w:tcW w:w="1656" w:type="dxa"/>
          </w:tcPr>
          <w:p w14:paraId="2DBD0A94" w14:textId="77777777" w:rsidR="001E2D8F" w:rsidRPr="001E2D8F" w:rsidRDefault="001E2D8F" w:rsidP="001E2D8F">
            <w:pPr>
              <w:jc w:val="left"/>
              <w:rPr>
                <w:rFonts w:ascii="Calibri" w:hAnsi="Calibri" w:cs="Calibri"/>
                <w:sz w:val="20"/>
              </w:rPr>
            </w:pPr>
            <w:r w:rsidRPr="001E2D8F">
              <w:rPr>
                <w:rFonts w:ascii="Calibri" w:hAnsi="Calibri" w:cs="Calibri"/>
                <w:sz w:val="20"/>
              </w:rPr>
              <w:t>Fort</w:t>
            </w:r>
          </w:p>
        </w:tc>
        <w:tc>
          <w:tcPr>
            <w:tcW w:w="2160" w:type="dxa"/>
          </w:tcPr>
          <w:p w14:paraId="484B8BB5" w14:textId="77777777" w:rsidR="001E2D8F" w:rsidRPr="001E2D8F" w:rsidRDefault="001E2D8F" w:rsidP="001E2D8F">
            <w:pPr>
              <w:jc w:val="left"/>
              <w:rPr>
                <w:rFonts w:ascii="Calibri" w:hAnsi="Calibri" w:cs="Calibri"/>
                <w:sz w:val="20"/>
              </w:rPr>
            </w:pPr>
            <w:r w:rsidRPr="001E2D8F">
              <w:rPr>
                <w:rFonts w:ascii="Calibri" w:hAnsi="Calibri" w:cs="Calibri"/>
                <w:sz w:val="20"/>
              </w:rPr>
              <w:t>Fort</w:t>
            </w:r>
          </w:p>
        </w:tc>
        <w:tc>
          <w:tcPr>
            <w:tcW w:w="3672" w:type="dxa"/>
          </w:tcPr>
          <w:p w14:paraId="153B8496" w14:textId="77777777" w:rsidR="001E2D8F" w:rsidRPr="001E2D8F" w:rsidRDefault="001E2D8F" w:rsidP="001E2D8F">
            <w:pPr>
              <w:jc w:val="left"/>
              <w:rPr>
                <w:rFonts w:ascii="Calibri" w:hAnsi="Calibri" w:cs="Calibri"/>
                <w:sz w:val="20"/>
              </w:rPr>
            </w:pPr>
            <w:r w:rsidRPr="001E2D8F">
              <w:rPr>
                <w:rFonts w:ascii="Calibri" w:hAnsi="Calibri" w:cs="Calibri"/>
                <w:sz w:val="20"/>
              </w:rPr>
              <w:t>Position distinctive et efficacité</w:t>
            </w:r>
          </w:p>
        </w:tc>
      </w:tr>
      <w:tr w:rsidR="001E2D8F" w:rsidRPr="001E2D8F" w14:paraId="448D67CD" w14:textId="77777777" w:rsidTr="001E2D8F">
        <w:tc>
          <w:tcPr>
            <w:tcW w:w="2880" w:type="dxa"/>
          </w:tcPr>
          <w:p w14:paraId="46F8A2B9" w14:textId="77777777" w:rsidR="001E2D8F" w:rsidRPr="001E2D8F" w:rsidRDefault="001E2D8F" w:rsidP="001E2D8F">
            <w:pPr>
              <w:jc w:val="left"/>
              <w:rPr>
                <w:rFonts w:ascii="Calibri" w:hAnsi="Calibri" w:cs="Calibri"/>
                <w:sz w:val="20"/>
              </w:rPr>
            </w:pPr>
            <w:r w:rsidRPr="001E2D8F">
              <w:rPr>
                <w:rFonts w:ascii="Calibri" w:hAnsi="Calibri" w:cs="Calibri"/>
                <w:sz w:val="20"/>
              </w:rPr>
              <w:t>Volume ou concentration</w:t>
            </w:r>
          </w:p>
        </w:tc>
        <w:tc>
          <w:tcPr>
            <w:tcW w:w="1656" w:type="dxa"/>
          </w:tcPr>
          <w:p w14:paraId="4B877703" w14:textId="77777777" w:rsidR="001E2D8F" w:rsidRPr="001E2D8F" w:rsidRDefault="001E2D8F" w:rsidP="001E2D8F">
            <w:pPr>
              <w:jc w:val="left"/>
              <w:rPr>
                <w:rFonts w:ascii="Calibri" w:hAnsi="Calibri" w:cs="Calibri"/>
                <w:sz w:val="20"/>
              </w:rPr>
            </w:pPr>
            <w:r w:rsidRPr="001E2D8F">
              <w:rPr>
                <w:rFonts w:ascii="Calibri" w:hAnsi="Calibri" w:cs="Calibri"/>
                <w:sz w:val="20"/>
              </w:rPr>
              <w:t>Faible</w:t>
            </w:r>
          </w:p>
        </w:tc>
        <w:tc>
          <w:tcPr>
            <w:tcW w:w="2160" w:type="dxa"/>
          </w:tcPr>
          <w:p w14:paraId="26ED85D5" w14:textId="77777777" w:rsidR="001E2D8F" w:rsidRPr="001E2D8F" w:rsidRDefault="001E2D8F" w:rsidP="001E2D8F">
            <w:pPr>
              <w:jc w:val="left"/>
              <w:rPr>
                <w:rFonts w:ascii="Calibri" w:hAnsi="Calibri" w:cs="Calibri"/>
                <w:sz w:val="20"/>
              </w:rPr>
            </w:pPr>
            <w:r w:rsidRPr="001E2D8F">
              <w:rPr>
                <w:rFonts w:ascii="Calibri" w:hAnsi="Calibri" w:cs="Calibri"/>
                <w:sz w:val="20"/>
              </w:rPr>
              <w:t>Fort</w:t>
            </w:r>
          </w:p>
        </w:tc>
        <w:tc>
          <w:tcPr>
            <w:tcW w:w="3672" w:type="dxa"/>
          </w:tcPr>
          <w:p w14:paraId="01340AC2" w14:textId="77777777" w:rsidR="001E2D8F" w:rsidRPr="001E2D8F" w:rsidRDefault="001E2D8F" w:rsidP="001E2D8F">
            <w:pPr>
              <w:jc w:val="left"/>
              <w:rPr>
                <w:rFonts w:ascii="Calibri" w:hAnsi="Calibri" w:cs="Calibri"/>
                <w:sz w:val="20"/>
              </w:rPr>
            </w:pPr>
            <w:r w:rsidRPr="001E2D8F">
              <w:rPr>
                <w:rFonts w:ascii="Calibri" w:hAnsi="Calibri" w:cs="Calibri"/>
                <w:sz w:val="20"/>
              </w:rPr>
              <w:t>Économies d’échelle et coûts</w:t>
            </w:r>
          </w:p>
        </w:tc>
      </w:tr>
      <w:tr w:rsidR="001E2D8F" w:rsidRPr="001E2D8F" w14:paraId="3043CB1B" w14:textId="77777777" w:rsidTr="001E2D8F">
        <w:tc>
          <w:tcPr>
            <w:tcW w:w="2880" w:type="dxa"/>
          </w:tcPr>
          <w:p w14:paraId="7FD40D92" w14:textId="77777777" w:rsidR="001E2D8F" w:rsidRPr="001E2D8F" w:rsidRDefault="001E2D8F" w:rsidP="001E2D8F">
            <w:pPr>
              <w:jc w:val="left"/>
              <w:rPr>
                <w:rFonts w:ascii="Calibri" w:hAnsi="Calibri" w:cs="Calibri"/>
                <w:sz w:val="20"/>
              </w:rPr>
            </w:pPr>
            <w:r w:rsidRPr="001E2D8F">
              <w:rPr>
                <w:rFonts w:ascii="Calibri" w:hAnsi="Calibri" w:cs="Calibri"/>
                <w:sz w:val="20"/>
              </w:rPr>
              <w:t>Impasse concurrentielle</w:t>
            </w:r>
          </w:p>
        </w:tc>
        <w:tc>
          <w:tcPr>
            <w:tcW w:w="1656" w:type="dxa"/>
          </w:tcPr>
          <w:p w14:paraId="05198723" w14:textId="77777777" w:rsidR="001E2D8F" w:rsidRPr="001E2D8F" w:rsidRDefault="001E2D8F" w:rsidP="001E2D8F">
            <w:pPr>
              <w:jc w:val="left"/>
              <w:rPr>
                <w:rFonts w:ascii="Calibri" w:hAnsi="Calibri" w:cs="Calibri"/>
                <w:sz w:val="20"/>
              </w:rPr>
            </w:pPr>
            <w:r w:rsidRPr="001E2D8F">
              <w:rPr>
                <w:rFonts w:ascii="Calibri" w:hAnsi="Calibri" w:cs="Calibri"/>
                <w:sz w:val="20"/>
              </w:rPr>
              <w:t>Faible</w:t>
            </w:r>
          </w:p>
        </w:tc>
        <w:tc>
          <w:tcPr>
            <w:tcW w:w="2160" w:type="dxa"/>
          </w:tcPr>
          <w:p w14:paraId="3F620F2C" w14:textId="77777777" w:rsidR="001E2D8F" w:rsidRPr="001E2D8F" w:rsidRDefault="001E2D8F" w:rsidP="001E2D8F">
            <w:pPr>
              <w:jc w:val="left"/>
              <w:rPr>
                <w:rFonts w:ascii="Calibri" w:hAnsi="Calibri" w:cs="Calibri"/>
                <w:sz w:val="20"/>
              </w:rPr>
            </w:pPr>
            <w:r w:rsidRPr="001E2D8F">
              <w:rPr>
                <w:rFonts w:ascii="Calibri" w:hAnsi="Calibri" w:cs="Calibri"/>
                <w:sz w:val="20"/>
              </w:rPr>
              <w:t>Faible</w:t>
            </w:r>
          </w:p>
        </w:tc>
        <w:tc>
          <w:tcPr>
            <w:tcW w:w="3672" w:type="dxa"/>
          </w:tcPr>
          <w:p w14:paraId="2FECF370" w14:textId="77777777" w:rsidR="001E2D8F" w:rsidRPr="001E2D8F" w:rsidRDefault="001E2D8F" w:rsidP="001E2D8F">
            <w:pPr>
              <w:jc w:val="left"/>
              <w:rPr>
                <w:rFonts w:ascii="Calibri" w:hAnsi="Calibri" w:cs="Calibri"/>
                <w:sz w:val="20"/>
              </w:rPr>
            </w:pPr>
            <w:r w:rsidRPr="001E2D8F">
              <w:rPr>
                <w:rFonts w:ascii="Calibri" w:hAnsi="Calibri" w:cs="Calibri"/>
                <w:sz w:val="20"/>
              </w:rPr>
              <w:t>Marges difficiles à protéger</w:t>
            </w:r>
          </w:p>
        </w:tc>
      </w:tr>
    </w:tbl>
    <w:p w14:paraId="33D3A639" w14:textId="77777777" w:rsidR="001E2D8F" w:rsidRDefault="001E2D8F" w:rsidP="001E2D8F">
      <w:pPr>
        <w:spacing w:after="0" w:line="240" w:lineRule="auto"/>
      </w:pPr>
    </w:p>
    <w:p w14:paraId="599CA342" w14:textId="77777777" w:rsidR="001E2D8F" w:rsidRDefault="001E2D8F" w:rsidP="001E2D8F">
      <w:pPr>
        <w:pStyle w:val="Titre2"/>
        <w:spacing w:before="0" w:after="0" w:line="240" w:lineRule="auto"/>
      </w:pPr>
      <w:r>
        <w:t>3.2- Examiner les moyens et la performance</w:t>
      </w:r>
    </w:p>
    <w:p w14:paraId="693010E9" w14:textId="70785B01"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Clients</w:t>
      </w:r>
      <w:r>
        <w:rPr>
          <w:lang w:val="fr-FR"/>
        </w:rPr>
        <w:t> :</w:t>
      </w:r>
      <w:r w:rsidRPr="001E2D8F">
        <w:rPr>
          <w:lang w:val="fr-FR"/>
        </w:rPr>
        <w:t xml:space="preserve"> concentration, fidélité, solvabilité, échéance des contrats et rentabilité par client.</w:t>
      </w:r>
    </w:p>
    <w:p w14:paraId="7405B719" w14:textId="6E369049"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Produits</w:t>
      </w:r>
      <w:r>
        <w:rPr>
          <w:lang w:val="fr-FR"/>
        </w:rPr>
        <w:t> :</w:t>
      </w:r>
      <w:r w:rsidRPr="001E2D8F">
        <w:rPr>
          <w:lang w:val="fr-FR"/>
        </w:rPr>
        <w:t xml:space="preserve"> marges, qualité, maturité, substituts et capacité de renouvellement.</w:t>
      </w:r>
    </w:p>
    <w:p w14:paraId="1A4E2EF9" w14:textId="3D4F1CD2"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Production</w:t>
      </w:r>
      <w:r>
        <w:rPr>
          <w:lang w:val="fr-FR"/>
        </w:rPr>
        <w:t> :</w:t>
      </w:r>
      <w:r w:rsidRPr="001E2D8F">
        <w:rPr>
          <w:lang w:val="fr-FR"/>
        </w:rPr>
        <w:t xml:space="preserve"> capacité réellement utilisable, pannes, rebuts, temps de cycle et goulots.</w:t>
      </w:r>
    </w:p>
    <w:p w14:paraId="446CC7B8" w14:textId="7B743CED"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Personnel</w:t>
      </w:r>
      <w:r>
        <w:rPr>
          <w:lang w:val="fr-FR"/>
        </w:rPr>
        <w:t> :</w:t>
      </w:r>
      <w:r w:rsidRPr="001E2D8F">
        <w:rPr>
          <w:lang w:val="fr-FR"/>
        </w:rPr>
        <w:t xml:space="preserve"> compétences rares, départs possibles et coût de remplacement.</w:t>
      </w:r>
    </w:p>
    <w:p w14:paraId="1C36BFB4" w14:textId="31D6CC09"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Organisation</w:t>
      </w:r>
      <w:r>
        <w:rPr>
          <w:lang w:val="fr-FR"/>
        </w:rPr>
        <w:t> :</w:t>
      </w:r>
      <w:r w:rsidRPr="001E2D8F">
        <w:rPr>
          <w:lang w:val="fr-FR"/>
        </w:rPr>
        <w:t xml:space="preserve"> procédures, circulation de l’information et fiabilité des systèmes.</w:t>
      </w:r>
    </w:p>
    <w:p w14:paraId="7B651868" w14:textId="77777777" w:rsidR="001E2D8F" w:rsidRDefault="001E2D8F" w:rsidP="001E2D8F">
      <w:pPr>
        <w:spacing w:after="0" w:line="240" w:lineRule="auto"/>
      </w:pPr>
      <w:r>
        <w:t>Une machine peu coûteuse dans les comptes peut nécessiter un remplacement rapide. À l’inverse, une capacité inutilisée peut permettre une hausse des volumes sans investissement majeur. Les constats doivent être traduits en montants, en délais et en effets sur la performance.</w:t>
      </w:r>
    </w:p>
    <w:p w14:paraId="70663A93" w14:textId="77777777" w:rsidR="001E2D8F" w:rsidRDefault="001E2D8F" w:rsidP="001E2D8F">
      <w:pPr>
        <w:pStyle w:val="Titre2"/>
        <w:spacing w:before="0" w:after="0" w:line="240" w:lineRule="auto"/>
      </w:pPr>
      <w:r>
        <w:t>3.3- Mesurer la dépendance au cédant</w:t>
      </w:r>
    </w:p>
    <w:p w14:paraId="1CE20FB7" w14:textId="77777777" w:rsidR="001E2D8F" w:rsidRDefault="001E2D8F" w:rsidP="001E2D8F">
      <w:pPr>
        <w:spacing w:after="0" w:line="240" w:lineRule="auto"/>
      </w:pPr>
      <w:r>
        <w:t>Identifier les relations commerciales, les compétences et les décisions concentrées chez le dirigeant. Une rentabilité fondée sur sa présence personnelle peut diminuer après son départ. Chiffrer un remplacement, formaliser les savoir-faire et prévoir une transition. Les raisons annoncées pour la vente doivent être confrontées aux tendances de l’activité et aux documents disponibles.</w:t>
      </w:r>
    </w:p>
    <w:p w14:paraId="2781B221" w14:textId="7117047E" w:rsidR="001E2D8F" w:rsidRDefault="001E2D8F" w:rsidP="001E2D8F">
      <w:pPr>
        <w:spacing w:after="0" w:line="240" w:lineRule="auto"/>
      </w:pPr>
      <w:r>
        <w:t>La synthèse distingue les forces et faiblesses internes des opportunités et menaces externes. Elle situe aussi la cible dans son évolution</w:t>
      </w:r>
      <w:r>
        <w:t> :</w:t>
      </w:r>
      <w:r>
        <w:t xml:space="preserve"> croissance, stabilisation, déclin ou difficulté, afin d’adapter les hypothèses.</w:t>
      </w:r>
    </w:p>
    <w:p w14:paraId="383B28E7" w14:textId="77777777" w:rsidR="001E2D8F" w:rsidRDefault="001E2D8F" w:rsidP="001E2D8F">
      <w:pPr>
        <w:spacing w:after="0" w:line="240" w:lineRule="auto"/>
      </w:pPr>
    </w:p>
    <w:p w14:paraId="359B5CE1" w14:textId="63A47C23" w:rsidR="001E2D8F" w:rsidRDefault="001E2D8F" w:rsidP="001E2D8F">
      <w:pPr>
        <w:spacing w:after="0" w:line="240" w:lineRule="auto"/>
      </w:pPr>
    </w:p>
    <w:p w14:paraId="2446E2C1" w14:textId="77777777" w:rsidR="001E2D8F" w:rsidRDefault="001E2D8F" w:rsidP="001E2D8F">
      <w:pPr>
        <w:pStyle w:val="Titre1"/>
        <w:spacing w:before="0" w:after="0" w:line="240" w:lineRule="auto"/>
      </w:pPr>
      <w:r>
        <w:t>4- Analyser les coûts et la rentabilité réelle</w:t>
      </w:r>
    </w:p>
    <w:p w14:paraId="4E75D6BC" w14:textId="77777777" w:rsidR="001E2D8F" w:rsidRDefault="001E2D8F" w:rsidP="001E2D8F">
      <w:pPr>
        <w:pStyle w:val="Titre2"/>
        <w:spacing w:before="0" w:after="0" w:line="240" w:lineRule="auto"/>
      </w:pPr>
      <w:r>
        <w:t>4.1- Étudier les marges par activité</w:t>
      </w:r>
    </w:p>
    <w:p w14:paraId="19BBD539" w14:textId="77777777" w:rsidR="001E2D8F" w:rsidRDefault="001E2D8F" w:rsidP="001E2D8F">
      <w:pPr>
        <w:spacing w:after="0" w:line="240" w:lineRule="auto"/>
      </w:pPr>
      <w:r>
        <w:t>Le résultat global peut masquer des produits déficitaires ou une dépendance à quelques commandes très rentables. Le contrôle de gestion distingue les charges directes et indirectes, puis les charges variables et fixes selon l’horizon étudié. Ces deux classements répondent à des questions différentes.</w:t>
      </w:r>
    </w:p>
    <w:p w14:paraId="55EFA6E6" w14:textId="77777777" w:rsidR="001E2D8F" w:rsidRDefault="001E2D8F" w:rsidP="001E2D8F">
      <w:pPr>
        <w:spacing w:after="0" w:line="240" w:lineRule="auto"/>
      </w:pPr>
      <w:r>
        <w:rPr>
          <w:b/>
          <w:sz w:val="21"/>
        </w:rPr>
        <w:t>Marge sur coût variable = chiffre d’affaires − charges variables</w:t>
      </w:r>
    </w:p>
    <w:p w14:paraId="65E2B26C" w14:textId="77777777" w:rsidR="001E2D8F" w:rsidRDefault="001E2D8F" w:rsidP="001E2D8F">
      <w:pPr>
        <w:spacing w:after="0" w:line="240" w:lineRule="auto"/>
      </w:pPr>
      <w:r>
        <w:rPr>
          <w:b/>
          <w:sz w:val="21"/>
        </w:rPr>
        <w:t>Taux de marge sur coût variable = marge sur coût variable / chiffre d’affaires</w:t>
      </w:r>
    </w:p>
    <w:p w14:paraId="44E3D684" w14:textId="77777777" w:rsidR="001E2D8F" w:rsidRDefault="001E2D8F" w:rsidP="001E2D8F">
      <w:pPr>
        <w:spacing w:after="0" w:line="240" w:lineRule="auto"/>
      </w:pPr>
      <w:r>
        <w:rPr>
          <w:b/>
          <w:sz w:val="21"/>
        </w:rPr>
        <w:t>Résultat du modèle = marge sur coût variable − charges fixes</w:t>
      </w:r>
    </w:p>
    <w:p w14:paraId="73A95466" w14:textId="77777777" w:rsidR="001E2D8F" w:rsidRDefault="001E2D8F" w:rsidP="001E2D8F">
      <w:pPr>
        <w:spacing w:after="0" w:line="240" w:lineRule="auto"/>
      </w:pPr>
      <w:r>
        <w:rPr>
          <w:b/>
          <w:sz w:val="21"/>
        </w:rPr>
        <w:t>Seuil de rentabilité = charges fixes / taux de marge sur coût variable</w:t>
      </w:r>
    </w:p>
    <w:p w14:paraId="4217D413" w14:textId="77777777" w:rsidR="001E2D8F" w:rsidRDefault="001E2D8F" w:rsidP="001E2D8F">
      <w:pPr>
        <w:spacing w:after="0" w:line="240" w:lineRule="auto"/>
      </w:pPr>
      <w:r>
        <w:t>Ces relations supposent un modèle cohérent sur une plage d’activité donnée. Si plusieurs produits sont vendus, le calcul global dépend de la stabilité de leur répartition. Une nouvelle équipe ou une nouvelle machine peut provoquer un palier de charges fixes.</w:t>
      </w:r>
    </w:p>
    <w:p w14:paraId="272FC308" w14:textId="77777777" w:rsidR="001E2D8F" w:rsidRDefault="001E2D8F" w:rsidP="001E2D8F">
      <w:pPr>
        <w:pStyle w:val="Titre2"/>
        <w:spacing w:before="0" w:after="0" w:line="240" w:lineRule="auto"/>
      </w:pPr>
      <w:r>
        <w:t>4.2- Retraiter la rentabilité</w:t>
      </w:r>
    </w:p>
    <w:p w14:paraId="6E59D37C" w14:textId="77777777" w:rsidR="001E2D8F" w:rsidRDefault="001E2D8F" w:rsidP="001E2D8F">
      <w:pPr>
        <w:spacing w:after="0" w:line="240" w:lineRule="auto"/>
      </w:pPr>
      <w:r>
        <w:t>La rentabilité normalisée représente la performance attendue dans des conditions d’exploitation durables. Les retraitements s’appuient sur des éléments identifiés et documentés. Ils peuvent augmenter ou réduire le résultat de référence.</w:t>
      </w:r>
    </w:p>
    <w:tbl>
      <w:tblPr>
        <w:tblStyle w:val="Grilledutableau"/>
        <w:tblW w:w="0" w:type="auto"/>
        <w:tblLayout w:type="fixed"/>
        <w:tblLook w:val="04A0" w:firstRow="1" w:lastRow="0" w:firstColumn="1" w:lastColumn="0" w:noHBand="0" w:noVBand="1"/>
      </w:tblPr>
      <w:tblGrid>
        <w:gridCol w:w="2995"/>
        <w:gridCol w:w="7373"/>
      </w:tblGrid>
      <w:tr w:rsidR="001E2D8F" w:rsidRPr="001E2D8F" w14:paraId="169BCA34" w14:textId="77777777" w:rsidTr="001E2D8F">
        <w:trPr>
          <w:tblHeader/>
        </w:trPr>
        <w:tc>
          <w:tcPr>
            <w:tcW w:w="2995" w:type="dxa"/>
          </w:tcPr>
          <w:p w14:paraId="07132420" w14:textId="77777777" w:rsidR="001E2D8F" w:rsidRPr="001E2D8F" w:rsidRDefault="001E2D8F" w:rsidP="001E2D8F">
            <w:pPr>
              <w:jc w:val="left"/>
              <w:rPr>
                <w:rFonts w:ascii="Calibri" w:hAnsi="Calibri" w:cs="Calibri"/>
                <w:sz w:val="20"/>
              </w:rPr>
            </w:pPr>
            <w:r w:rsidRPr="001E2D8F">
              <w:rPr>
                <w:rFonts w:ascii="Calibri" w:hAnsi="Calibri" w:cs="Calibri"/>
                <w:b/>
                <w:sz w:val="20"/>
              </w:rPr>
              <w:t>Situation observée</w:t>
            </w:r>
          </w:p>
        </w:tc>
        <w:tc>
          <w:tcPr>
            <w:tcW w:w="7373" w:type="dxa"/>
          </w:tcPr>
          <w:p w14:paraId="045D9EA5" w14:textId="77777777" w:rsidR="001E2D8F" w:rsidRPr="001E2D8F" w:rsidRDefault="001E2D8F" w:rsidP="001E2D8F">
            <w:pPr>
              <w:jc w:val="left"/>
              <w:rPr>
                <w:rFonts w:ascii="Calibri" w:hAnsi="Calibri" w:cs="Calibri"/>
                <w:sz w:val="20"/>
              </w:rPr>
            </w:pPr>
            <w:r w:rsidRPr="001E2D8F">
              <w:rPr>
                <w:rFonts w:ascii="Calibri" w:hAnsi="Calibri" w:cs="Calibri"/>
                <w:b/>
                <w:sz w:val="20"/>
              </w:rPr>
              <w:t>Retraitement à envisager</w:t>
            </w:r>
          </w:p>
        </w:tc>
      </w:tr>
      <w:tr w:rsidR="001E2D8F" w:rsidRPr="001E2D8F" w14:paraId="33EA6BE7" w14:textId="77777777" w:rsidTr="001E2D8F">
        <w:tc>
          <w:tcPr>
            <w:tcW w:w="2995" w:type="dxa"/>
          </w:tcPr>
          <w:p w14:paraId="71A8F173" w14:textId="77777777" w:rsidR="001E2D8F" w:rsidRPr="001E2D8F" w:rsidRDefault="001E2D8F" w:rsidP="001E2D8F">
            <w:pPr>
              <w:jc w:val="left"/>
              <w:rPr>
                <w:rFonts w:ascii="Calibri" w:hAnsi="Calibri" w:cs="Calibri"/>
                <w:sz w:val="20"/>
              </w:rPr>
            </w:pPr>
            <w:r w:rsidRPr="001E2D8F">
              <w:rPr>
                <w:rFonts w:ascii="Calibri" w:hAnsi="Calibri" w:cs="Calibri"/>
                <w:sz w:val="20"/>
              </w:rPr>
              <w:t>Subvention d’exploitation non récurrente</w:t>
            </w:r>
          </w:p>
        </w:tc>
        <w:tc>
          <w:tcPr>
            <w:tcW w:w="7373" w:type="dxa"/>
          </w:tcPr>
          <w:p w14:paraId="7943AA55" w14:textId="77777777" w:rsidR="001E2D8F" w:rsidRPr="001E2D8F" w:rsidRDefault="001E2D8F" w:rsidP="001E2D8F">
            <w:pPr>
              <w:jc w:val="left"/>
              <w:rPr>
                <w:rFonts w:ascii="Calibri" w:hAnsi="Calibri" w:cs="Calibri"/>
                <w:sz w:val="20"/>
              </w:rPr>
            </w:pPr>
            <w:r w:rsidRPr="001E2D8F">
              <w:rPr>
                <w:rFonts w:ascii="Calibri" w:hAnsi="Calibri" w:cs="Calibri"/>
                <w:sz w:val="20"/>
              </w:rPr>
              <w:t>Retirer le produit du résultat durable</w:t>
            </w:r>
          </w:p>
        </w:tc>
      </w:tr>
      <w:tr w:rsidR="001E2D8F" w:rsidRPr="001E2D8F" w14:paraId="694F54FE" w14:textId="77777777" w:rsidTr="001E2D8F">
        <w:tc>
          <w:tcPr>
            <w:tcW w:w="2995" w:type="dxa"/>
          </w:tcPr>
          <w:p w14:paraId="433A3B7C" w14:textId="77777777" w:rsidR="001E2D8F" w:rsidRPr="001E2D8F" w:rsidRDefault="001E2D8F" w:rsidP="001E2D8F">
            <w:pPr>
              <w:jc w:val="left"/>
              <w:rPr>
                <w:rFonts w:ascii="Calibri" w:hAnsi="Calibri" w:cs="Calibri"/>
                <w:sz w:val="20"/>
              </w:rPr>
            </w:pPr>
            <w:r w:rsidRPr="001E2D8F">
              <w:rPr>
                <w:rFonts w:ascii="Calibri" w:hAnsi="Calibri" w:cs="Calibri"/>
                <w:sz w:val="20"/>
              </w:rPr>
              <w:lastRenderedPageBreak/>
              <w:t>Dépense exceptionnelle sans répétition prévue</w:t>
            </w:r>
          </w:p>
        </w:tc>
        <w:tc>
          <w:tcPr>
            <w:tcW w:w="7373" w:type="dxa"/>
          </w:tcPr>
          <w:p w14:paraId="2C08D139" w14:textId="77777777" w:rsidR="001E2D8F" w:rsidRPr="001E2D8F" w:rsidRDefault="001E2D8F" w:rsidP="001E2D8F">
            <w:pPr>
              <w:jc w:val="left"/>
              <w:rPr>
                <w:rFonts w:ascii="Calibri" w:hAnsi="Calibri" w:cs="Calibri"/>
                <w:sz w:val="20"/>
              </w:rPr>
            </w:pPr>
            <w:r w:rsidRPr="001E2D8F">
              <w:rPr>
                <w:rFonts w:ascii="Calibri" w:hAnsi="Calibri" w:cs="Calibri"/>
                <w:sz w:val="20"/>
              </w:rPr>
              <w:t>Neutraliser la charge identifiée</w:t>
            </w:r>
          </w:p>
        </w:tc>
      </w:tr>
      <w:tr w:rsidR="001E2D8F" w:rsidRPr="001E2D8F" w14:paraId="3A899CAA" w14:textId="77777777" w:rsidTr="001E2D8F">
        <w:tc>
          <w:tcPr>
            <w:tcW w:w="2995" w:type="dxa"/>
          </w:tcPr>
          <w:p w14:paraId="237C7396" w14:textId="77777777" w:rsidR="001E2D8F" w:rsidRPr="001E2D8F" w:rsidRDefault="001E2D8F" w:rsidP="001E2D8F">
            <w:pPr>
              <w:jc w:val="left"/>
              <w:rPr>
                <w:rFonts w:ascii="Calibri" w:hAnsi="Calibri" w:cs="Calibri"/>
                <w:sz w:val="20"/>
              </w:rPr>
            </w:pPr>
            <w:r w:rsidRPr="001E2D8F">
              <w:rPr>
                <w:rFonts w:ascii="Calibri" w:hAnsi="Calibri" w:cs="Calibri"/>
                <w:sz w:val="20"/>
              </w:rPr>
              <w:t>Dirigeant rémunéré sous le prix de marché</w:t>
            </w:r>
          </w:p>
        </w:tc>
        <w:tc>
          <w:tcPr>
            <w:tcW w:w="7373" w:type="dxa"/>
          </w:tcPr>
          <w:p w14:paraId="786AF6C3" w14:textId="77777777" w:rsidR="001E2D8F" w:rsidRPr="001E2D8F" w:rsidRDefault="001E2D8F" w:rsidP="001E2D8F">
            <w:pPr>
              <w:jc w:val="left"/>
              <w:rPr>
                <w:rFonts w:ascii="Calibri" w:hAnsi="Calibri" w:cs="Calibri"/>
                <w:sz w:val="20"/>
              </w:rPr>
            </w:pPr>
            <w:r w:rsidRPr="001E2D8F">
              <w:rPr>
                <w:rFonts w:ascii="Calibri" w:hAnsi="Calibri" w:cs="Calibri"/>
                <w:sz w:val="20"/>
              </w:rPr>
              <w:t>Ajouter le coût du remplacement</w:t>
            </w:r>
          </w:p>
        </w:tc>
      </w:tr>
      <w:tr w:rsidR="001E2D8F" w:rsidRPr="001E2D8F" w14:paraId="4ED719CE" w14:textId="77777777" w:rsidTr="001E2D8F">
        <w:tc>
          <w:tcPr>
            <w:tcW w:w="2995" w:type="dxa"/>
          </w:tcPr>
          <w:p w14:paraId="4C4BE91E" w14:textId="77777777" w:rsidR="001E2D8F" w:rsidRPr="001E2D8F" w:rsidRDefault="001E2D8F" w:rsidP="001E2D8F">
            <w:pPr>
              <w:jc w:val="left"/>
              <w:rPr>
                <w:rFonts w:ascii="Calibri" w:hAnsi="Calibri" w:cs="Calibri"/>
                <w:sz w:val="20"/>
              </w:rPr>
            </w:pPr>
            <w:r w:rsidRPr="001E2D8F">
              <w:rPr>
                <w:rFonts w:ascii="Calibri" w:hAnsi="Calibri" w:cs="Calibri"/>
                <w:sz w:val="20"/>
              </w:rPr>
              <w:t>Maintenance reportée</w:t>
            </w:r>
          </w:p>
        </w:tc>
        <w:tc>
          <w:tcPr>
            <w:tcW w:w="7373" w:type="dxa"/>
          </w:tcPr>
          <w:p w14:paraId="173B090E" w14:textId="77777777" w:rsidR="001E2D8F" w:rsidRPr="001E2D8F" w:rsidRDefault="001E2D8F" w:rsidP="001E2D8F">
            <w:pPr>
              <w:jc w:val="left"/>
              <w:rPr>
                <w:rFonts w:ascii="Calibri" w:hAnsi="Calibri" w:cs="Calibri"/>
                <w:sz w:val="20"/>
              </w:rPr>
            </w:pPr>
            <w:r w:rsidRPr="001E2D8F">
              <w:rPr>
                <w:rFonts w:ascii="Calibri" w:hAnsi="Calibri" w:cs="Calibri"/>
                <w:sz w:val="20"/>
              </w:rPr>
              <w:t>Rétablir la dépense annuelle nécessaire</w:t>
            </w:r>
          </w:p>
        </w:tc>
      </w:tr>
      <w:tr w:rsidR="001E2D8F" w:rsidRPr="001E2D8F" w14:paraId="0A9389B8" w14:textId="77777777" w:rsidTr="001E2D8F">
        <w:tc>
          <w:tcPr>
            <w:tcW w:w="2995" w:type="dxa"/>
          </w:tcPr>
          <w:p w14:paraId="2D05C4C3" w14:textId="77777777" w:rsidR="001E2D8F" w:rsidRPr="001E2D8F" w:rsidRDefault="001E2D8F" w:rsidP="001E2D8F">
            <w:pPr>
              <w:jc w:val="left"/>
              <w:rPr>
                <w:rFonts w:ascii="Calibri" w:hAnsi="Calibri" w:cs="Calibri"/>
                <w:sz w:val="20"/>
              </w:rPr>
            </w:pPr>
            <w:r w:rsidRPr="001E2D8F">
              <w:rPr>
                <w:rFonts w:ascii="Calibri" w:hAnsi="Calibri" w:cs="Calibri"/>
                <w:sz w:val="20"/>
              </w:rPr>
              <w:t>Loyer lié au cédant supérieur au marché</w:t>
            </w:r>
          </w:p>
        </w:tc>
        <w:tc>
          <w:tcPr>
            <w:tcW w:w="7373" w:type="dxa"/>
          </w:tcPr>
          <w:p w14:paraId="515A26E9" w14:textId="77777777" w:rsidR="001E2D8F" w:rsidRPr="001E2D8F" w:rsidRDefault="001E2D8F" w:rsidP="001E2D8F">
            <w:pPr>
              <w:jc w:val="left"/>
              <w:rPr>
                <w:rFonts w:ascii="Calibri" w:hAnsi="Calibri" w:cs="Calibri"/>
                <w:sz w:val="20"/>
              </w:rPr>
            </w:pPr>
            <w:r w:rsidRPr="001E2D8F">
              <w:rPr>
                <w:rFonts w:ascii="Calibri" w:hAnsi="Calibri" w:cs="Calibri"/>
                <w:sz w:val="20"/>
              </w:rPr>
              <w:t>Retenir un loyer soutenable et justifié</w:t>
            </w:r>
          </w:p>
        </w:tc>
      </w:tr>
      <w:tr w:rsidR="001E2D8F" w:rsidRPr="001E2D8F" w14:paraId="5FD3504C" w14:textId="77777777" w:rsidTr="001E2D8F">
        <w:tc>
          <w:tcPr>
            <w:tcW w:w="2995" w:type="dxa"/>
          </w:tcPr>
          <w:p w14:paraId="59171FD9" w14:textId="77777777" w:rsidR="001E2D8F" w:rsidRPr="001E2D8F" w:rsidRDefault="001E2D8F" w:rsidP="001E2D8F">
            <w:pPr>
              <w:jc w:val="left"/>
              <w:rPr>
                <w:rFonts w:ascii="Calibri" w:hAnsi="Calibri" w:cs="Calibri"/>
                <w:sz w:val="20"/>
              </w:rPr>
            </w:pPr>
            <w:r w:rsidRPr="001E2D8F">
              <w:rPr>
                <w:rFonts w:ascii="Calibri" w:hAnsi="Calibri" w:cs="Calibri"/>
                <w:sz w:val="20"/>
              </w:rPr>
              <w:t>Personnel ou charges insuffisants pour le volume</w:t>
            </w:r>
          </w:p>
        </w:tc>
        <w:tc>
          <w:tcPr>
            <w:tcW w:w="7373" w:type="dxa"/>
          </w:tcPr>
          <w:p w14:paraId="672DB706" w14:textId="77777777" w:rsidR="001E2D8F" w:rsidRPr="001E2D8F" w:rsidRDefault="001E2D8F" w:rsidP="001E2D8F">
            <w:pPr>
              <w:jc w:val="left"/>
              <w:rPr>
                <w:rFonts w:ascii="Calibri" w:hAnsi="Calibri" w:cs="Calibri"/>
                <w:sz w:val="20"/>
              </w:rPr>
            </w:pPr>
            <w:r w:rsidRPr="001E2D8F">
              <w:rPr>
                <w:rFonts w:ascii="Calibri" w:hAnsi="Calibri" w:cs="Calibri"/>
                <w:sz w:val="20"/>
              </w:rPr>
              <w:t>Intégrer les moyens nécessaires</w:t>
            </w:r>
          </w:p>
        </w:tc>
      </w:tr>
    </w:tbl>
    <w:p w14:paraId="48BC5BC2" w14:textId="77777777" w:rsidR="001E2D8F" w:rsidRDefault="001E2D8F" w:rsidP="001E2D8F">
      <w:pPr>
        <w:spacing w:after="0" w:line="240" w:lineRule="auto"/>
      </w:pPr>
    </w:p>
    <w:p w14:paraId="7D190DBF" w14:textId="75AC0F91" w:rsidR="001E2D8F" w:rsidRDefault="001E2D8F" w:rsidP="001E2D8F">
      <w:pPr>
        <w:spacing w:after="0" w:line="240" w:lineRule="auto"/>
      </w:pPr>
      <w:r>
        <w:t>L’excédent brut d’exploitation mesure une performance d’exploitation avant notamment amortissements et financement. Il ne correspond pas à la trésorerie disponible</w:t>
      </w:r>
      <w:r>
        <w:t> :</w:t>
      </w:r>
      <w:r>
        <w:t xml:space="preserve"> les décalages de paiement, les investissements, les impôts et le remboursement du capital des emprunts doivent encore être pris en compte.</w:t>
      </w:r>
    </w:p>
    <w:p w14:paraId="45314449" w14:textId="77777777" w:rsidR="001E2D8F" w:rsidRDefault="001E2D8F" w:rsidP="001E2D8F">
      <w:pPr>
        <w:pStyle w:val="Titre2"/>
        <w:spacing w:before="0" w:after="0" w:line="240" w:lineRule="auto"/>
      </w:pPr>
      <w:r>
        <w:t>4.3- Repérer une amélioration artificielle</w:t>
      </w:r>
    </w:p>
    <w:p w14:paraId="0E156D94" w14:textId="77777777" w:rsidR="001E2D8F" w:rsidRDefault="001E2D8F" w:rsidP="001E2D8F">
      <w:pPr>
        <w:spacing w:after="0" w:line="240" w:lineRule="auto"/>
      </w:pPr>
      <w:r>
        <w:t>Une hausse du résultat obtenue par réduction excessive de la maintenance, de la formation ou de la prospection peut fragiliser les exercices futurs. Contrôler également les changements de méthodes, les stocks surévalués, les créances douteuses et le rattachement des charges et produits au bon exercice. Le diagnostic distingue une décision de gestion temporaire, une estimation discutable et une irrégularité démontrée.</w:t>
      </w:r>
    </w:p>
    <w:p w14:paraId="2E271407" w14:textId="77777777" w:rsidR="001E2D8F" w:rsidRDefault="001E2D8F" w:rsidP="001E2D8F">
      <w:pPr>
        <w:spacing w:after="0" w:line="240" w:lineRule="auto"/>
      </w:pPr>
    </w:p>
    <w:p w14:paraId="67197E10" w14:textId="509CE5C2" w:rsidR="001E2D8F" w:rsidRDefault="001E2D8F" w:rsidP="001E2D8F">
      <w:pPr>
        <w:spacing w:after="0" w:line="240" w:lineRule="auto"/>
      </w:pPr>
    </w:p>
    <w:p w14:paraId="58060799" w14:textId="77777777" w:rsidR="001E2D8F" w:rsidRDefault="001E2D8F" w:rsidP="001E2D8F">
      <w:pPr>
        <w:pStyle w:val="Titre1"/>
        <w:spacing w:before="0" w:after="0" w:line="240" w:lineRule="auto"/>
      </w:pPr>
      <w:r>
        <w:t>5- Examiner l’équilibre financier et les risques</w:t>
      </w:r>
    </w:p>
    <w:p w14:paraId="7A5E65F9" w14:textId="77777777" w:rsidR="001E2D8F" w:rsidRDefault="001E2D8F" w:rsidP="001E2D8F">
      <w:pPr>
        <w:pStyle w:val="Titre2"/>
        <w:spacing w:before="0" w:after="0" w:line="240" w:lineRule="auto"/>
      </w:pPr>
      <w:r>
        <w:t>5.1- Lire les comptes sur plusieurs exercices</w:t>
      </w:r>
    </w:p>
    <w:p w14:paraId="127B0928" w14:textId="77777777" w:rsidR="001E2D8F" w:rsidRDefault="001E2D8F" w:rsidP="001E2D8F">
      <w:pPr>
        <w:spacing w:after="0" w:line="240" w:lineRule="auto"/>
      </w:pPr>
      <w:r>
        <w:t>L’analyse compare les évolutions du chiffre d’affaires, des marges, des résultats, des investissements et de l’endettement. Elle les rapproche de l’activité réelle et, lorsque les données sont comparables, du secteur. Les comptes récents et les événements postérieurs complètent les comptes annuels.</w:t>
      </w:r>
    </w:p>
    <w:p w14:paraId="151AF536" w14:textId="77777777" w:rsidR="001E2D8F" w:rsidRDefault="001E2D8F" w:rsidP="001E2D8F">
      <w:pPr>
        <w:spacing w:after="0" w:line="240" w:lineRule="auto"/>
      </w:pPr>
      <w:r>
        <w:rPr>
          <w:b/>
          <w:sz w:val="21"/>
        </w:rPr>
        <w:t>Fonds de roulement net global = ressources stables − emplois stables</w:t>
      </w:r>
    </w:p>
    <w:p w14:paraId="463DDC81" w14:textId="77777777" w:rsidR="001E2D8F" w:rsidRDefault="001E2D8F" w:rsidP="001E2D8F">
      <w:pPr>
        <w:spacing w:after="0" w:line="240" w:lineRule="auto"/>
      </w:pPr>
      <w:r>
        <w:rPr>
          <w:b/>
          <w:sz w:val="21"/>
        </w:rPr>
        <w:t>Besoin en fonds de roulement = actifs circulants hors trésorerie − passifs circulants hors trésorerie</w:t>
      </w:r>
    </w:p>
    <w:p w14:paraId="4E410A11" w14:textId="77777777" w:rsidR="001E2D8F" w:rsidRDefault="001E2D8F" w:rsidP="001E2D8F">
      <w:pPr>
        <w:spacing w:after="0" w:line="240" w:lineRule="auto"/>
      </w:pPr>
      <w:r>
        <w:rPr>
          <w:b/>
          <w:sz w:val="21"/>
        </w:rPr>
        <w:t>Trésorerie nette = fonds de roulement net global − besoin en fonds de roulement</w:t>
      </w:r>
    </w:p>
    <w:p w14:paraId="302C19C6" w14:textId="77777777" w:rsidR="001E2D8F" w:rsidRDefault="001E2D8F" w:rsidP="001E2D8F">
      <w:pPr>
        <w:spacing w:after="0" w:line="240" w:lineRule="auto"/>
      </w:pPr>
      <w:r>
        <w:t>Les postes doivent être classés selon une même convention d’analyse. Un besoin d’exploitation positif indique que le cycle mobilise des ressources. Un fonds de roulement positif ne garantit pas une trésorerie suffisante si ce besoin augmente plus vite.</w:t>
      </w:r>
    </w:p>
    <w:p w14:paraId="26E5947A" w14:textId="77777777" w:rsidR="001E2D8F" w:rsidRDefault="001E2D8F" w:rsidP="001E2D8F">
      <w:pPr>
        <w:pStyle w:val="Titre2"/>
        <w:spacing w:before="0" w:after="0" w:line="240" w:lineRule="auto"/>
      </w:pPr>
      <w:r>
        <w:t>5.2- Utiliser les ratios avec discernement</w:t>
      </w:r>
    </w:p>
    <w:tbl>
      <w:tblPr>
        <w:tblStyle w:val="Grilledutableau"/>
        <w:tblW w:w="0" w:type="auto"/>
        <w:tblLayout w:type="fixed"/>
        <w:tblLook w:val="04A0" w:firstRow="1" w:lastRow="0" w:firstColumn="1" w:lastColumn="0" w:noHBand="0" w:noVBand="1"/>
      </w:tblPr>
      <w:tblGrid>
        <w:gridCol w:w="2045"/>
        <w:gridCol w:w="4147"/>
        <w:gridCol w:w="4176"/>
      </w:tblGrid>
      <w:tr w:rsidR="001E2D8F" w:rsidRPr="001E2D8F" w14:paraId="49664189" w14:textId="77777777" w:rsidTr="001E2D8F">
        <w:trPr>
          <w:tblHeader/>
        </w:trPr>
        <w:tc>
          <w:tcPr>
            <w:tcW w:w="2045" w:type="dxa"/>
          </w:tcPr>
          <w:p w14:paraId="507DD41A" w14:textId="77777777" w:rsidR="001E2D8F" w:rsidRPr="001E2D8F" w:rsidRDefault="001E2D8F" w:rsidP="001E2D8F">
            <w:pPr>
              <w:jc w:val="left"/>
              <w:rPr>
                <w:rFonts w:ascii="Calibri" w:hAnsi="Calibri" w:cs="Calibri"/>
                <w:sz w:val="20"/>
              </w:rPr>
            </w:pPr>
            <w:r w:rsidRPr="001E2D8F">
              <w:rPr>
                <w:rFonts w:ascii="Calibri" w:hAnsi="Calibri" w:cs="Calibri"/>
                <w:b/>
                <w:sz w:val="20"/>
              </w:rPr>
              <w:t>Indicateur</w:t>
            </w:r>
          </w:p>
        </w:tc>
        <w:tc>
          <w:tcPr>
            <w:tcW w:w="4147" w:type="dxa"/>
          </w:tcPr>
          <w:p w14:paraId="063EC3BD" w14:textId="77777777" w:rsidR="001E2D8F" w:rsidRPr="001E2D8F" w:rsidRDefault="001E2D8F" w:rsidP="001E2D8F">
            <w:pPr>
              <w:jc w:val="left"/>
              <w:rPr>
                <w:rFonts w:ascii="Calibri" w:hAnsi="Calibri" w:cs="Calibri"/>
                <w:sz w:val="20"/>
              </w:rPr>
            </w:pPr>
            <w:r w:rsidRPr="001E2D8F">
              <w:rPr>
                <w:rFonts w:ascii="Calibri" w:hAnsi="Calibri" w:cs="Calibri"/>
                <w:b/>
                <w:sz w:val="20"/>
              </w:rPr>
              <w:t>Calcul possible</w:t>
            </w:r>
          </w:p>
        </w:tc>
        <w:tc>
          <w:tcPr>
            <w:tcW w:w="4176" w:type="dxa"/>
          </w:tcPr>
          <w:p w14:paraId="30E7D86B" w14:textId="77777777" w:rsidR="001E2D8F" w:rsidRPr="001E2D8F" w:rsidRDefault="001E2D8F" w:rsidP="001E2D8F">
            <w:pPr>
              <w:jc w:val="left"/>
              <w:rPr>
                <w:rFonts w:ascii="Calibri" w:hAnsi="Calibri" w:cs="Calibri"/>
                <w:sz w:val="20"/>
              </w:rPr>
            </w:pPr>
            <w:r w:rsidRPr="001E2D8F">
              <w:rPr>
                <w:rFonts w:ascii="Calibri" w:hAnsi="Calibri" w:cs="Calibri"/>
                <w:b/>
                <w:sz w:val="20"/>
              </w:rPr>
              <w:t>Question posée</w:t>
            </w:r>
          </w:p>
        </w:tc>
      </w:tr>
      <w:tr w:rsidR="001E2D8F" w:rsidRPr="001E2D8F" w14:paraId="4A0BCB2C" w14:textId="77777777" w:rsidTr="001E2D8F">
        <w:tc>
          <w:tcPr>
            <w:tcW w:w="2045" w:type="dxa"/>
          </w:tcPr>
          <w:p w14:paraId="72ECF53D" w14:textId="77777777" w:rsidR="001E2D8F" w:rsidRPr="001E2D8F" w:rsidRDefault="001E2D8F" w:rsidP="001E2D8F">
            <w:pPr>
              <w:jc w:val="left"/>
              <w:rPr>
                <w:rFonts w:ascii="Calibri" w:hAnsi="Calibri" w:cs="Calibri"/>
                <w:sz w:val="20"/>
              </w:rPr>
            </w:pPr>
            <w:r w:rsidRPr="001E2D8F">
              <w:rPr>
                <w:rFonts w:ascii="Calibri" w:hAnsi="Calibri" w:cs="Calibri"/>
                <w:sz w:val="20"/>
              </w:rPr>
              <w:t>Autonomie financière</w:t>
            </w:r>
          </w:p>
        </w:tc>
        <w:tc>
          <w:tcPr>
            <w:tcW w:w="4147" w:type="dxa"/>
          </w:tcPr>
          <w:p w14:paraId="07892883" w14:textId="77777777" w:rsidR="001E2D8F" w:rsidRPr="001E2D8F" w:rsidRDefault="001E2D8F" w:rsidP="001E2D8F">
            <w:pPr>
              <w:jc w:val="left"/>
              <w:rPr>
                <w:rFonts w:ascii="Calibri" w:hAnsi="Calibri" w:cs="Calibri"/>
                <w:sz w:val="20"/>
              </w:rPr>
            </w:pPr>
            <w:r w:rsidRPr="001E2D8F">
              <w:rPr>
                <w:rFonts w:ascii="Calibri" w:hAnsi="Calibri" w:cs="Calibri"/>
                <w:sz w:val="20"/>
              </w:rPr>
              <w:t>Capitaux propres / total du bilan</w:t>
            </w:r>
          </w:p>
        </w:tc>
        <w:tc>
          <w:tcPr>
            <w:tcW w:w="4176" w:type="dxa"/>
          </w:tcPr>
          <w:p w14:paraId="33E3ED1A" w14:textId="35CFB2E9" w:rsidR="001E2D8F" w:rsidRPr="001E2D8F" w:rsidRDefault="001E2D8F" w:rsidP="001E2D8F">
            <w:pPr>
              <w:jc w:val="left"/>
              <w:rPr>
                <w:rFonts w:ascii="Calibri" w:hAnsi="Calibri" w:cs="Calibri"/>
                <w:sz w:val="20"/>
              </w:rPr>
            </w:pPr>
            <w:r w:rsidRPr="001E2D8F">
              <w:rPr>
                <w:rFonts w:ascii="Calibri" w:hAnsi="Calibri" w:cs="Calibri"/>
                <w:sz w:val="20"/>
              </w:rPr>
              <w:t>Quel poids des ressources propres</w:t>
            </w:r>
            <w:r w:rsidRPr="001E2D8F">
              <w:rPr>
                <w:rFonts w:ascii="Calibri" w:hAnsi="Calibri" w:cs="Calibri"/>
                <w:sz w:val="20"/>
              </w:rPr>
              <w:t> ?</w:t>
            </w:r>
          </w:p>
        </w:tc>
      </w:tr>
      <w:tr w:rsidR="001E2D8F" w:rsidRPr="001E2D8F" w14:paraId="55B207B8" w14:textId="77777777" w:rsidTr="001E2D8F">
        <w:tc>
          <w:tcPr>
            <w:tcW w:w="2045" w:type="dxa"/>
          </w:tcPr>
          <w:p w14:paraId="417E30D3" w14:textId="77777777" w:rsidR="001E2D8F" w:rsidRPr="001E2D8F" w:rsidRDefault="001E2D8F" w:rsidP="001E2D8F">
            <w:pPr>
              <w:jc w:val="left"/>
              <w:rPr>
                <w:rFonts w:ascii="Calibri" w:hAnsi="Calibri" w:cs="Calibri"/>
                <w:sz w:val="20"/>
              </w:rPr>
            </w:pPr>
            <w:r w:rsidRPr="001E2D8F">
              <w:rPr>
                <w:rFonts w:ascii="Calibri" w:hAnsi="Calibri" w:cs="Calibri"/>
                <w:sz w:val="20"/>
              </w:rPr>
              <w:t>Rentabilité d’exploitation</w:t>
            </w:r>
          </w:p>
        </w:tc>
        <w:tc>
          <w:tcPr>
            <w:tcW w:w="4147" w:type="dxa"/>
          </w:tcPr>
          <w:p w14:paraId="2123E054" w14:textId="77777777" w:rsidR="001E2D8F" w:rsidRPr="001E2D8F" w:rsidRDefault="001E2D8F" w:rsidP="001E2D8F">
            <w:pPr>
              <w:jc w:val="left"/>
              <w:rPr>
                <w:rFonts w:ascii="Calibri" w:hAnsi="Calibri" w:cs="Calibri"/>
                <w:sz w:val="20"/>
              </w:rPr>
            </w:pPr>
            <w:r w:rsidRPr="001E2D8F">
              <w:rPr>
                <w:rFonts w:ascii="Calibri" w:hAnsi="Calibri" w:cs="Calibri"/>
                <w:sz w:val="20"/>
              </w:rPr>
              <w:t>Résultat d’exploitation / chiffre d’affaires</w:t>
            </w:r>
          </w:p>
        </w:tc>
        <w:tc>
          <w:tcPr>
            <w:tcW w:w="4176" w:type="dxa"/>
          </w:tcPr>
          <w:p w14:paraId="7861A98A" w14:textId="7567CFBA" w:rsidR="001E2D8F" w:rsidRPr="001E2D8F" w:rsidRDefault="001E2D8F" w:rsidP="001E2D8F">
            <w:pPr>
              <w:jc w:val="left"/>
              <w:rPr>
                <w:rFonts w:ascii="Calibri" w:hAnsi="Calibri" w:cs="Calibri"/>
                <w:sz w:val="20"/>
              </w:rPr>
            </w:pPr>
            <w:r w:rsidRPr="001E2D8F">
              <w:rPr>
                <w:rFonts w:ascii="Calibri" w:hAnsi="Calibri" w:cs="Calibri"/>
                <w:sz w:val="20"/>
              </w:rPr>
              <w:t>Quelle performance avant financement</w:t>
            </w:r>
            <w:r w:rsidRPr="001E2D8F">
              <w:rPr>
                <w:rFonts w:ascii="Calibri" w:hAnsi="Calibri" w:cs="Calibri"/>
                <w:sz w:val="20"/>
              </w:rPr>
              <w:t> ?</w:t>
            </w:r>
          </w:p>
        </w:tc>
      </w:tr>
      <w:tr w:rsidR="001E2D8F" w:rsidRPr="001E2D8F" w14:paraId="5EDB4BCA" w14:textId="77777777" w:rsidTr="001E2D8F">
        <w:tc>
          <w:tcPr>
            <w:tcW w:w="2045" w:type="dxa"/>
          </w:tcPr>
          <w:p w14:paraId="29DF0FF6" w14:textId="77777777" w:rsidR="001E2D8F" w:rsidRPr="001E2D8F" w:rsidRDefault="001E2D8F" w:rsidP="001E2D8F">
            <w:pPr>
              <w:jc w:val="left"/>
              <w:rPr>
                <w:rFonts w:ascii="Calibri" w:hAnsi="Calibri" w:cs="Calibri"/>
                <w:sz w:val="20"/>
              </w:rPr>
            </w:pPr>
            <w:r w:rsidRPr="001E2D8F">
              <w:rPr>
                <w:rFonts w:ascii="Calibri" w:hAnsi="Calibri" w:cs="Calibri"/>
                <w:sz w:val="20"/>
              </w:rPr>
              <w:t>Capacité de remboursement</w:t>
            </w:r>
          </w:p>
        </w:tc>
        <w:tc>
          <w:tcPr>
            <w:tcW w:w="4147" w:type="dxa"/>
          </w:tcPr>
          <w:p w14:paraId="6D741C58" w14:textId="77777777" w:rsidR="001E2D8F" w:rsidRPr="001E2D8F" w:rsidRDefault="001E2D8F" w:rsidP="001E2D8F">
            <w:pPr>
              <w:jc w:val="left"/>
              <w:rPr>
                <w:rFonts w:ascii="Calibri" w:hAnsi="Calibri" w:cs="Calibri"/>
                <w:sz w:val="20"/>
              </w:rPr>
            </w:pPr>
            <w:r w:rsidRPr="001E2D8F">
              <w:rPr>
                <w:rFonts w:ascii="Calibri" w:hAnsi="Calibri" w:cs="Calibri"/>
                <w:sz w:val="20"/>
              </w:rPr>
              <w:t>Dette financière nette / capacité d’autofinancement</w:t>
            </w:r>
          </w:p>
        </w:tc>
        <w:tc>
          <w:tcPr>
            <w:tcW w:w="4176" w:type="dxa"/>
          </w:tcPr>
          <w:p w14:paraId="1A703CDB" w14:textId="4C301629" w:rsidR="001E2D8F" w:rsidRPr="001E2D8F" w:rsidRDefault="001E2D8F" w:rsidP="001E2D8F">
            <w:pPr>
              <w:jc w:val="left"/>
              <w:rPr>
                <w:rFonts w:ascii="Calibri" w:hAnsi="Calibri" w:cs="Calibri"/>
                <w:sz w:val="20"/>
              </w:rPr>
            </w:pPr>
            <w:r w:rsidRPr="001E2D8F">
              <w:rPr>
                <w:rFonts w:ascii="Calibri" w:hAnsi="Calibri" w:cs="Calibri"/>
                <w:sz w:val="20"/>
              </w:rPr>
              <w:t>Combien d’années théoriques de remboursement</w:t>
            </w:r>
            <w:r w:rsidRPr="001E2D8F">
              <w:rPr>
                <w:rFonts w:ascii="Calibri" w:hAnsi="Calibri" w:cs="Calibri"/>
                <w:sz w:val="20"/>
              </w:rPr>
              <w:t> ?</w:t>
            </w:r>
          </w:p>
        </w:tc>
      </w:tr>
      <w:tr w:rsidR="001E2D8F" w:rsidRPr="001E2D8F" w14:paraId="7CA13236" w14:textId="77777777" w:rsidTr="001E2D8F">
        <w:tc>
          <w:tcPr>
            <w:tcW w:w="2045" w:type="dxa"/>
          </w:tcPr>
          <w:p w14:paraId="1DF760FF" w14:textId="77777777" w:rsidR="001E2D8F" w:rsidRPr="001E2D8F" w:rsidRDefault="001E2D8F" w:rsidP="001E2D8F">
            <w:pPr>
              <w:jc w:val="left"/>
              <w:rPr>
                <w:rFonts w:ascii="Calibri" w:hAnsi="Calibri" w:cs="Calibri"/>
                <w:sz w:val="20"/>
              </w:rPr>
            </w:pPr>
            <w:r w:rsidRPr="001E2D8F">
              <w:rPr>
                <w:rFonts w:ascii="Calibri" w:hAnsi="Calibri" w:cs="Calibri"/>
                <w:sz w:val="20"/>
              </w:rPr>
              <w:t>Liquidité générale</w:t>
            </w:r>
          </w:p>
        </w:tc>
        <w:tc>
          <w:tcPr>
            <w:tcW w:w="4147" w:type="dxa"/>
          </w:tcPr>
          <w:p w14:paraId="3650DD98" w14:textId="77777777" w:rsidR="001E2D8F" w:rsidRPr="001E2D8F" w:rsidRDefault="001E2D8F" w:rsidP="001E2D8F">
            <w:pPr>
              <w:jc w:val="left"/>
              <w:rPr>
                <w:rFonts w:ascii="Calibri" w:hAnsi="Calibri" w:cs="Calibri"/>
                <w:sz w:val="20"/>
              </w:rPr>
            </w:pPr>
            <w:r w:rsidRPr="001E2D8F">
              <w:rPr>
                <w:rFonts w:ascii="Calibri" w:hAnsi="Calibri" w:cs="Calibri"/>
                <w:sz w:val="20"/>
              </w:rPr>
              <w:t>Actif à court terme / dettes à court terme</w:t>
            </w:r>
          </w:p>
        </w:tc>
        <w:tc>
          <w:tcPr>
            <w:tcW w:w="4176" w:type="dxa"/>
          </w:tcPr>
          <w:p w14:paraId="5751EA95" w14:textId="7FEA9CA5" w:rsidR="001E2D8F" w:rsidRPr="001E2D8F" w:rsidRDefault="001E2D8F" w:rsidP="001E2D8F">
            <w:pPr>
              <w:jc w:val="left"/>
              <w:rPr>
                <w:rFonts w:ascii="Calibri" w:hAnsi="Calibri" w:cs="Calibri"/>
                <w:sz w:val="20"/>
              </w:rPr>
            </w:pPr>
            <w:r w:rsidRPr="001E2D8F">
              <w:rPr>
                <w:rFonts w:ascii="Calibri" w:hAnsi="Calibri" w:cs="Calibri"/>
                <w:sz w:val="20"/>
              </w:rPr>
              <w:t>Quels actifs couvrent les échéances proches</w:t>
            </w:r>
            <w:r w:rsidRPr="001E2D8F">
              <w:rPr>
                <w:rFonts w:ascii="Calibri" w:hAnsi="Calibri" w:cs="Calibri"/>
                <w:sz w:val="20"/>
              </w:rPr>
              <w:t> ?</w:t>
            </w:r>
          </w:p>
        </w:tc>
      </w:tr>
      <w:tr w:rsidR="001E2D8F" w:rsidRPr="001E2D8F" w14:paraId="3C127D3D" w14:textId="77777777" w:rsidTr="001E2D8F">
        <w:tc>
          <w:tcPr>
            <w:tcW w:w="2045" w:type="dxa"/>
          </w:tcPr>
          <w:p w14:paraId="4F104AE3" w14:textId="77777777" w:rsidR="001E2D8F" w:rsidRPr="001E2D8F" w:rsidRDefault="001E2D8F" w:rsidP="001E2D8F">
            <w:pPr>
              <w:jc w:val="left"/>
              <w:rPr>
                <w:rFonts w:ascii="Calibri" w:hAnsi="Calibri" w:cs="Calibri"/>
                <w:sz w:val="20"/>
              </w:rPr>
            </w:pPr>
            <w:r w:rsidRPr="001E2D8F">
              <w:rPr>
                <w:rFonts w:ascii="Calibri" w:hAnsi="Calibri" w:cs="Calibri"/>
                <w:sz w:val="20"/>
              </w:rPr>
              <w:t>Poids des intérêts</w:t>
            </w:r>
          </w:p>
        </w:tc>
        <w:tc>
          <w:tcPr>
            <w:tcW w:w="4147" w:type="dxa"/>
          </w:tcPr>
          <w:p w14:paraId="3F15B750" w14:textId="77777777" w:rsidR="001E2D8F" w:rsidRPr="001E2D8F" w:rsidRDefault="001E2D8F" w:rsidP="001E2D8F">
            <w:pPr>
              <w:jc w:val="left"/>
              <w:rPr>
                <w:rFonts w:ascii="Calibri" w:hAnsi="Calibri" w:cs="Calibri"/>
                <w:sz w:val="20"/>
              </w:rPr>
            </w:pPr>
            <w:r w:rsidRPr="001E2D8F">
              <w:rPr>
                <w:rFonts w:ascii="Calibri" w:hAnsi="Calibri" w:cs="Calibri"/>
                <w:sz w:val="20"/>
              </w:rPr>
              <w:t>Charges d’intérêts / chiffre d’affaires</w:t>
            </w:r>
          </w:p>
        </w:tc>
        <w:tc>
          <w:tcPr>
            <w:tcW w:w="4176" w:type="dxa"/>
          </w:tcPr>
          <w:p w14:paraId="3F265187" w14:textId="1956301B" w:rsidR="001E2D8F" w:rsidRPr="001E2D8F" w:rsidRDefault="001E2D8F" w:rsidP="001E2D8F">
            <w:pPr>
              <w:jc w:val="left"/>
              <w:rPr>
                <w:rFonts w:ascii="Calibri" w:hAnsi="Calibri" w:cs="Calibri"/>
                <w:sz w:val="20"/>
              </w:rPr>
            </w:pPr>
            <w:r w:rsidRPr="001E2D8F">
              <w:rPr>
                <w:rFonts w:ascii="Calibri" w:hAnsi="Calibri" w:cs="Calibri"/>
                <w:sz w:val="20"/>
              </w:rPr>
              <w:t>Quelle pression du financement</w:t>
            </w:r>
            <w:r w:rsidRPr="001E2D8F">
              <w:rPr>
                <w:rFonts w:ascii="Calibri" w:hAnsi="Calibri" w:cs="Calibri"/>
                <w:sz w:val="20"/>
              </w:rPr>
              <w:t> ?</w:t>
            </w:r>
          </w:p>
        </w:tc>
      </w:tr>
    </w:tbl>
    <w:p w14:paraId="2C5B54CB" w14:textId="77777777" w:rsidR="001E2D8F" w:rsidRDefault="001E2D8F" w:rsidP="001E2D8F">
      <w:pPr>
        <w:spacing w:after="0" w:line="240" w:lineRule="auto"/>
      </w:pPr>
    </w:p>
    <w:p w14:paraId="46D0BC19" w14:textId="3AC9801A" w:rsidR="001E2D8F" w:rsidRDefault="001E2D8F" w:rsidP="001E2D8F">
      <w:pPr>
        <w:spacing w:after="0" w:line="240" w:lineRule="auto"/>
      </w:pPr>
      <w:r>
        <w:t>Les définitions doivent être précisées, notamment pour la dette nette et les horizons retenus. Un ratio est peu interprétable si son dénominateur est nul ou négatif. Aucun seuil isolé ne constitue une norme universelle</w:t>
      </w:r>
      <w:r>
        <w:t> :</w:t>
      </w:r>
      <w:r>
        <w:t xml:space="preserve"> saisonnalité, secteur et modèle économique modifient l’analyse.</w:t>
      </w:r>
    </w:p>
    <w:p w14:paraId="50CCE871" w14:textId="77777777" w:rsidR="001E2D8F" w:rsidRDefault="001E2D8F" w:rsidP="001E2D8F">
      <w:pPr>
        <w:pStyle w:val="Titre2"/>
        <w:spacing w:before="0" w:after="0" w:line="240" w:lineRule="auto"/>
      </w:pPr>
      <w:r>
        <w:t>5.3- Vérifier les engagements et actifs sensibles</w:t>
      </w:r>
    </w:p>
    <w:p w14:paraId="5FFE1D54" w14:textId="5A05B0A1"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Stocks</w:t>
      </w:r>
      <w:r>
        <w:rPr>
          <w:lang w:val="fr-FR"/>
        </w:rPr>
        <w:t> :</w:t>
      </w:r>
      <w:r w:rsidRPr="001E2D8F">
        <w:rPr>
          <w:lang w:val="fr-FR"/>
        </w:rPr>
        <w:t xml:space="preserve"> existence, rotation, obsolescence et valeur recouvrable.</w:t>
      </w:r>
    </w:p>
    <w:p w14:paraId="32B7F708" w14:textId="25845045"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Créances</w:t>
      </w:r>
      <w:r>
        <w:rPr>
          <w:lang w:val="fr-FR"/>
        </w:rPr>
        <w:t> :</w:t>
      </w:r>
      <w:r w:rsidRPr="001E2D8F">
        <w:rPr>
          <w:lang w:val="fr-FR"/>
        </w:rPr>
        <w:t xml:space="preserve"> réalité, ancienneté, litiges et encaissement probable.</w:t>
      </w:r>
    </w:p>
    <w:p w14:paraId="568CCDBD" w14:textId="3225B5B6"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Dettes et risques</w:t>
      </w:r>
      <w:r>
        <w:rPr>
          <w:lang w:val="fr-FR"/>
        </w:rPr>
        <w:t> :</w:t>
      </w:r>
      <w:r w:rsidRPr="001E2D8F">
        <w:rPr>
          <w:lang w:val="fr-FR"/>
        </w:rPr>
        <w:t xml:space="preserve"> factures non reçues, garanties clients, litiges et obligations fiscales ou sociales.</w:t>
      </w:r>
    </w:p>
    <w:p w14:paraId="72BDB1B6" w14:textId="2E4D4C2B"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Engagements</w:t>
      </w:r>
      <w:r>
        <w:rPr>
          <w:lang w:val="fr-FR"/>
        </w:rPr>
        <w:t> :</w:t>
      </w:r>
      <w:r w:rsidRPr="001E2D8F">
        <w:rPr>
          <w:lang w:val="fr-FR"/>
        </w:rPr>
        <w:t xml:space="preserve"> crédit-bail, cautions données, retraites et contrats futurs.</w:t>
      </w:r>
    </w:p>
    <w:p w14:paraId="72577C17" w14:textId="6D6E72C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Trésorerie</w:t>
      </w:r>
      <w:r>
        <w:rPr>
          <w:lang w:val="fr-FR"/>
        </w:rPr>
        <w:t> :</w:t>
      </w:r>
      <w:r w:rsidRPr="001E2D8F">
        <w:rPr>
          <w:lang w:val="fr-FR"/>
        </w:rPr>
        <w:t xml:space="preserve"> solde réel, disponibilités bloquées et financement de court terme.</w:t>
      </w:r>
    </w:p>
    <w:p w14:paraId="21406AA1" w14:textId="77777777" w:rsidR="001E2D8F" w:rsidRDefault="001E2D8F" w:rsidP="001E2D8F">
      <w:pPr>
        <w:spacing w:after="0" w:line="240" w:lineRule="auto"/>
      </w:pPr>
      <w:r>
        <w:t>L’impact d’un engagement dépend du mode d’acquisition. Dans une reprise de titres, la société conserve ses obligations. Une reprise du fonds impose d’identifier précisément ce qui est transféré et les éventuelles responsabilités particulières.</w:t>
      </w:r>
    </w:p>
    <w:p w14:paraId="7D831407" w14:textId="77777777" w:rsidR="001E2D8F" w:rsidRDefault="001E2D8F" w:rsidP="001E2D8F">
      <w:pPr>
        <w:spacing w:after="0" w:line="240" w:lineRule="auto"/>
      </w:pPr>
    </w:p>
    <w:p w14:paraId="3F476819" w14:textId="2C380E23" w:rsidR="001E2D8F" w:rsidRDefault="001E2D8F" w:rsidP="001E2D8F">
      <w:pPr>
        <w:spacing w:after="0" w:line="240" w:lineRule="auto"/>
      </w:pPr>
    </w:p>
    <w:p w14:paraId="3171571B" w14:textId="77777777" w:rsidR="001E2D8F" w:rsidRDefault="001E2D8F" w:rsidP="001E2D8F">
      <w:pPr>
        <w:pStyle w:val="Titre1"/>
        <w:spacing w:before="0" w:after="0" w:line="240" w:lineRule="auto"/>
      </w:pPr>
      <w:r>
        <w:t>6- Déterminer une fourchette de valeur</w:t>
      </w:r>
    </w:p>
    <w:p w14:paraId="64278059" w14:textId="77777777" w:rsidR="001E2D8F" w:rsidRDefault="001E2D8F" w:rsidP="001E2D8F">
      <w:pPr>
        <w:pStyle w:val="Titre2"/>
        <w:spacing w:before="0" w:after="0" w:line="240" w:lineRule="auto"/>
      </w:pPr>
      <w:r>
        <w:t>6.1- Distinguer les objets évalués</w:t>
      </w:r>
    </w:p>
    <w:p w14:paraId="5A73B27E" w14:textId="77777777" w:rsidR="001E2D8F" w:rsidRDefault="001E2D8F" w:rsidP="001E2D8F">
      <w:pPr>
        <w:spacing w:after="0" w:line="240" w:lineRule="auto"/>
      </w:pPr>
      <w:r>
        <w:t>La valeur de l’activité mesure la capacité économique de l’exploitation. La valeur des titres correspond à la valeur revenant aux associés. Le prix résulte ensuite de la négociation, du périmètre, des garanties et des modalités de paiement. Une méthode doit annoncer clairement l’objet qu’elle évalue.</w:t>
      </w:r>
    </w:p>
    <w:p w14:paraId="239375A6" w14:textId="77777777" w:rsidR="001E2D8F" w:rsidRDefault="001E2D8F" w:rsidP="001E2D8F">
      <w:pPr>
        <w:spacing w:after="0" w:line="240" w:lineRule="auto"/>
      </w:pPr>
      <w:r>
        <w:rPr>
          <w:b/>
          <w:sz w:val="21"/>
        </w:rPr>
        <w:t>Valeur des titres = valeur de l’activité − dette financière nette + actifs hors exploitation retenus</w:t>
      </w:r>
    </w:p>
    <w:p w14:paraId="6B152E07" w14:textId="77777777" w:rsidR="001E2D8F" w:rsidRDefault="001E2D8F" w:rsidP="001E2D8F">
      <w:pPr>
        <w:spacing w:after="0" w:line="240" w:lineRule="auto"/>
      </w:pPr>
      <w:r>
        <w:rPr>
          <w:b/>
          <w:sz w:val="21"/>
        </w:rPr>
        <w:t>Dette financière nette = dettes financières retenues − trésorerie disponible retenue</w:t>
      </w:r>
    </w:p>
    <w:p w14:paraId="2693C2BF" w14:textId="77777777" w:rsidR="001E2D8F" w:rsidRDefault="001E2D8F" w:rsidP="001E2D8F">
      <w:pPr>
        <w:spacing w:after="0" w:line="240" w:lineRule="auto"/>
      </w:pPr>
      <w:r>
        <w:t>La définition contractuelle peut intégrer des ajustements spécifiques. Seule la trésorerie retenue dans cette définition est déduite. Une même dette ou un même actif ne doit pas être compté deux fois.</w:t>
      </w:r>
    </w:p>
    <w:p w14:paraId="0DA2EB23" w14:textId="77777777" w:rsidR="001E2D8F" w:rsidRDefault="001E2D8F" w:rsidP="001E2D8F">
      <w:pPr>
        <w:pStyle w:val="Titre2"/>
        <w:spacing w:before="0" w:after="0" w:line="240" w:lineRule="auto"/>
      </w:pPr>
      <w:r>
        <w:t>6.2- Approche patrimoniale</w:t>
      </w:r>
    </w:p>
    <w:p w14:paraId="3E2357B6" w14:textId="77777777" w:rsidR="001E2D8F" w:rsidRDefault="001E2D8F" w:rsidP="001E2D8F">
      <w:pPr>
        <w:spacing w:after="0" w:line="240" w:lineRule="auto"/>
      </w:pPr>
      <w:r>
        <w:rPr>
          <w:b/>
          <w:sz w:val="21"/>
        </w:rPr>
        <w:t>Actif net corrigé = capitaux propres comptables + corrections positives − corrections négatives</w:t>
      </w:r>
    </w:p>
    <w:p w14:paraId="6CE8AB38" w14:textId="77777777" w:rsidR="001E2D8F" w:rsidRDefault="001E2D8F" w:rsidP="001E2D8F">
      <w:pPr>
        <w:spacing w:after="0" w:line="240" w:lineRule="auto"/>
      </w:pPr>
      <w:r>
        <w:t>Les corrections peuvent comprendre une plus-value économique justifiée, une dépréciation de stock ou de créance, un actif sans utilité et un passif omis. Les conséquences fiscales sont appréciées selon le contexte. L’approche décrit un patrimoine corrigé, mais rend moins directement compte de la capacité à produire des résultats futurs.</w:t>
      </w:r>
    </w:p>
    <w:p w14:paraId="34FD75D6" w14:textId="77777777" w:rsidR="001E2D8F" w:rsidRDefault="001E2D8F" w:rsidP="001E2D8F">
      <w:pPr>
        <w:pStyle w:val="Titre2"/>
        <w:spacing w:before="0" w:after="0" w:line="240" w:lineRule="auto"/>
      </w:pPr>
      <w:r>
        <w:t>6.3- Approche par la rentabilité et comparaison</w:t>
      </w:r>
    </w:p>
    <w:p w14:paraId="7A9E5B32" w14:textId="77777777" w:rsidR="001E2D8F" w:rsidRDefault="001E2D8F" w:rsidP="001E2D8F">
      <w:pPr>
        <w:spacing w:after="0" w:line="240" w:lineRule="auto"/>
      </w:pPr>
      <w:r>
        <w:rPr>
          <w:b/>
          <w:sz w:val="21"/>
        </w:rPr>
        <w:t>Valeur de l’activité = indicateur de performance normalisé × multiple justifié</w:t>
      </w:r>
    </w:p>
    <w:p w14:paraId="281D7FCE" w14:textId="58C165A0" w:rsidR="001E2D8F" w:rsidRDefault="001E2D8F" w:rsidP="001E2D8F">
      <w:pPr>
        <w:spacing w:after="0" w:line="240" w:lineRule="auto"/>
      </w:pPr>
      <w:r>
        <w:t>Un multiple de l’excédent brut d’exploitation peut donner une estimation de la valeur de l’activité. Le multiple dépend de transactions comparables, des perspectives et des risques. Un multiple du résultat net peut viser directement une valeur des titres</w:t>
      </w:r>
      <w:r>
        <w:t> :</w:t>
      </w:r>
      <w:r>
        <w:t xml:space="preserve"> l’indicateur et l’objet doivent rester cohérents.</w:t>
      </w:r>
    </w:p>
    <w:p w14:paraId="0EBCD862" w14:textId="77777777" w:rsidR="001E2D8F" w:rsidRDefault="001E2D8F" w:rsidP="001E2D8F">
      <w:pPr>
        <w:pStyle w:val="Titre2"/>
        <w:spacing w:before="0" w:after="0" w:line="240" w:lineRule="auto"/>
      </w:pPr>
      <w:r>
        <w:t>6.4- Approche par les flux futurs</w:t>
      </w:r>
    </w:p>
    <w:p w14:paraId="7DC5D335" w14:textId="5EFE2699" w:rsidR="001E2D8F" w:rsidRDefault="001E2D8F" w:rsidP="001E2D8F">
      <w:pPr>
        <w:spacing w:after="0" w:line="240" w:lineRule="auto"/>
      </w:pPr>
      <w:r>
        <w:t>L’actualisation ramène les flux prévisionnels à leur valeur présente. Un flux de 100 000</w:t>
      </w:r>
      <w:r>
        <w:t> €</w:t>
      </w:r>
      <w:r>
        <w:t xml:space="preserve"> disponible dans un an, actualisé à 10</w:t>
      </w:r>
      <w:r>
        <w:t> %</w:t>
      </w:r>
      <w:r>
        <w:t>, vaut 100 000 / 1,10, soit 90 909</w:t>
      </w:r>
      <w:r>
        <w:t> €</w:t>
      </w:r>
      <w:r>
        <w:t>. Pour plusieurs années, on additionne les valeurs actualisées et, le cas échéant, une valeur terminale également actualisée.</w:t>
      </w:r>
    </w:p>
    <w:p w14:paraId="29448D85" w14:textId="77777777" w:rsidR="001E2D8F" w:rsidRDefault="001E2D8F" w:rsidP="001E2D8F">
      <w:pPr>
        <w:spacing w:after="0" w:line="240" w:lineRule="auto"/>
      </w:pPr>
      <w:r>
        <w:t>Des flux disponibles pour l’ensemble des financeurs conduisent à une valeur de l’activité et exigent un taux adapté à ces flux. Des flux destinés aux associés conduisent à une valeur des titres. Les hypothèses de croissance, d’investissement et de financement du cycle doivent être compatibles.</w:t>
      </w:r>
    </w:p>
    <w:p w14:paraId="45F5E522" w14:textId="77777777" w:rsidR="001E2D8F" w:rsidRDefault="001E2D8F" w:rsidP="001E2D8F">
      <w:pPr>
        <w:pStyle w:val="Titre2"/>
        <w:spacing w:before="0" w:after="0" w:line="240" w:lineRule="auto"/>
      </w:pPr>
      <w:r>
        <w:t>6.5- Confronter les résultats</w:t>
      </w:r>
    </w:p>
    <w:p w14:paraId="05641D93" w14:textId="77777777" w:rsidR="001E2D8F" w:rsidRDefault="001E2D8F" w:rsidP="001E2D8F">
      <w:pPr>
        <w:spacing w:after="0" w:line="240" w:lineRule="auto"/>
      </w:pPr>
      <w:r>
        <w:t>Les méthodes éclairent des dimensions différentes. Une moyenne arithmétique automatique peut masquer leurs limites. Retenir une fourchette argumentée, expliquer les écarts et tester la sensibilité à la marge, à la croissance et au risque.</w:t>
      </w:r>
    </w:p>
    <w:p w14:paraId="3FC68312" w14:textId="77777777" w:rsidR="001E2D8F" w:rsidRDefault="001E2D8F" w:rsidP="001E2D8F">
      <w:pPr>
        <w:spacing w:after="0" w:line="240" w:lineRule="auto"/>
      </w:pPr>
    </w:p>
    <w:p w14:paraId="6CCF4A2B" w14:textId="28A43D0A" w:rsidR="001E2D8F" w:rsidRDefault="001E2D8F" w:rsidP="001E2D8F">
      <w:pPr>
        <w:spacing w:after="0" w:line="240" w:lineRule="auto"/>
      </w:pPr>
    </w:p>
    <w:p w14:paraId="675D558B" w14:textId="77777777" w:rsidR="001E2D8F" w:rsidRDefault="001E2D8F" w:rsidP="001E2D8F">
      <w:pPr>
        <w:pStyle w:val="Titre1"/>
        <w:spacing w:before="0" w:after="0" w:line="240" w:lineRule="auto"/>
      </w:pPr>
      <w:r>
        <w:t>7- Négocier le périmètre et les protections</w:t>
      </w:r>
    </w:p>
    <w:p w14:paraId="02A7B481" w14:textId="77777777" w:rsidR="001E2D8F" w:rsidRDefault="001E2D8F" w:rsidP="001E2D8F">
      <w:pPr>
        <w:pStyle w:val="Titre2"/>
        <w:spacing w:before="0" w:after="0" w:line="240" w:lineRule="auto"/>
      </w:pPr>
      <w:r>
        <w:t>7.1- Comparer les formes de reprise</w:t>
      </w:r>
    </w:p>
    <w:tbl>
      <w:tblPr>
        <w:tblStyle w:val="Grilledutableau"/>
        <w:tblW w:w="0" w:type="auto"/>
        <w:tblLayout w:type="fixed"/>
        <w:tblLook w:val="04A0" w:firstRow="1" w:lastRow="0" w:firstColumn="1" w:lastColumn="0" w:noHBand="0" w:noVBand="1"/>
      </w:tblPr>
      <w:tblGrid>
        <w:gridCol w:w="2045"/>
        <w:gridCol w:w="4147"/>
        <w:gridCol w:w="4176"/>
      </w:tblGrid>
      <w:tr w:rsidR="001E2D8F" w:rsidRPr="001E2D8F" w14:paraId="369FAD3A" w14:textId="77777777" w:rsidTr="001E2D8F">
        <w:trPr>
          <w:tblHeader/>
        </w:trPr>
        <w:tc>
          <w:tcPr>
            <w:tcW w:w="2045" w:type="dxa"/>
          </w:tcPr>
          <w:p w14:paraId="76C467C4" w14:textId="77777777" w:rsidR="001E2D8F" w:rsidRPr="001E2D8F" w:rsidRDefault="001E2D8F" w:rsidP="001E2D8F">
            <w:pPr>
              <w:jc w:val="left"/>
              <w:rPr>
                <w:rFonts w:ascii="Calibri" w:hAnsi="Calibri" w:cs="Calibri"/>
                <w:sz w:val="20"/>
              </w:rPr>
            </w:pPr>
            <w:r w:rsidRPr="001E2D8F">
              <w:rPr>
                <w:rFonts w:ascii="Calibri" w:hAnsi="Calibri" w:cs="Calibri"/>
                <w:b/>
                <w:sz w:val="20"/>
              </w:rPr>
              <w:t>Modalité</w:t>
            </w:r>
          </w:p>
        </w:tc>
        <w:tc>
          <w:tcPr>
            <w:tcW w:w="4147" w:type="dxa"/>
          </w:tcPr>
          <w:p w14:paraId="67CDBF2B" w14:textId="77777777" w:rsidR="001E2D8F" w:rsidRPr="001E2D8F" w:rsidRDefault="001E2D8F" w:rsidP="001E2D8F">
            <w:pPr>
              <w:jc w:val="left"/>
              <w:rPr>
                <w:rFonts w:ascii="Calibri" w:hAnsi="Calibri" w:cs="Calibri"/>
                <w:sz w:val="20"/>
              </w:rPr>
            </w:pPr>
            <w:r w:rsidRPr="001E2D8F">
              <w:rPr>
                <w:rFonts w:ascii="Calibri" w:hAnsi="Calibri" w:cs="Calibri"/>
                <w:b/>
                <w:sz w:val="20"/>
              </w:rPr>
              <w:t>Objet et fonctionnement</w:t>
            </w:r>
          </w:p>
        </w:tc>
        <w:tc>
          <w:tcPr>
            <w:tcW w:w="4176" w:type="dxa"/>
          </w:tcPr>
          <w:p w14:paraId="5B2BB3DB" w14:textId="77777777" w:rsidR="001E2D8F" w:rsidRPr="001E2D8F" w:rsidRDefault="001E2D8F" w:rsidP="001E2D8F">
            <w:pPr>
              <w:jc w:val="left"/>
              <w:rPr>
                <w:rFonts w:ascii="Calibri" w:hAnsi="Calibri" w:cs="Calibri"/>
                <w:sz w:val="20"/>
              </w:rPr>
            </w:pPr>
            <w:r w:rsidRPr="001E2D8F">
              <w:rPr>
                <w:rFonts w:ascii="Calibri" w:hAnsi="Calibri" w:cs="Calibri"/>
                <w:b/>
                <w:sz w:val="20"/>
              </w:rPr>
              <w:t>Point de gestion à examiner</w:t>
            </w:r>
          </w:p>
        </w:tc>
      </w:tr>
      <w:tr w:rsidR="001E2D8F" w:rsidRPr="001E2D8F" w14:paraId="3FE1F196" w14:textId="77777777" w:rsidTr="001E2D8F">
        <w:tc>
          <w:tcPr>
            <w:tcW w:w="2045" w:type="dxa"/>
          </w:tcPr>
          <w:p w14:paraId="26C56DA7" w14:textId="77777777" w:rsidR="001E2D8F" w:rsidRPr="001E2D8F" w:rsidRDefault="001E2D8F" w:rsidP="001E2D8F">
            <w:pPr>
              <w:jc w:val="left"/>
              <w:rPr>
                <w:rFonts w:ascii="Calibri" w:hAnsi="Calibri" w:cs="Calibri"/>
                <w:sz w:val="20"/>
              </w:rPr>
            </w:pPr>
            <w:r w:rsidRPr="001E2D8F">
              <w:rPr>
                <w:rFonts w:ascii="Calibri" w:hAnsi="Calibri" w:cs="Calibri"/>
                <w:sz w:val="20"/>
              </w:rPr>
              <w:t>Achat du fonds</w:t>
            </w:r>
          </w:p>
        </w:tc>
        <w:tc>
          <w:tcPr>
            <w:tcW w:w="4147" w:type="dxa"/>
          </w:tcPr>
          <w:p w14:paraId="7F0C6280" w14:textId="77777777" w:rsidR="001E2D8F" w:rsidRPr="001E2D8F" w:rsidRDefault="001E2D8F" w:rsidP="001E2D8F">
            <w:pPr>
              <w:jc w:val="left"/>
              <w:rPr>
                <w:rFonts w:ascii="Calibri" w:hAnsi="Calibri" w:cs="Calibri"/>
                <w:sz w:val="20"/>
              </w:rPr>
            </w:pPr>
            <w:r w:rsidRPr="001E2D8F">
              <w:rPr>
                <w:rFonts w:ascii="Calibri" w:hAnsi="Calibri" w:cs="Calibri"/>
                <w:sz w:val="20"/>
              </w:rPr>
              <w:t>Acquisition des éléments du fonds définis dans l’acte</w:t>
            </w:r>
          </w:p>
        </w:tc>
        <w:tc>
          <w:tcPr>
            <w:tcW w:w="4176" w:type="dxa"/>
          </w:tcPr>
          <w:p w14:paraId="192BC99B" w14:textId="77777777" w:rsidR="001E2D8F" w:rsidRPr="001E2D8F" w:rsidRDefault="001E2D8F" w:rsidP="001E2D8F">
            <w:pPr>
              <w:jc w:val="left"/>
              <w:rPr>
                <w:rFonts w:ascii="Calibri" w:hAnsi="Calibri" w:cs="Calibri"/>
                <w:sz w:val="20"/>
              </w:rPr>
            </w:pPr>
            <w:r w:rsidRPr="001E2D8F">
              <w:rPr>
                <w:rFonts w:ascii="Calibri" w:hAnsi="Calibri" w:cs="Calibri"/>
                <w:sz w:val="20"/>
              </w:rPr>
              <w:t>Stocks séparés, contrats et cycle à financer</w:t>
            </w:r>
          </w:p>
        </w:tc>
      </w:tr>
      <w:tr w:rsidR="001E2D8F" w:rsidRPr="001E2D8F" w14:paraId="5C0CEDE4" w14:textId="77777777" w:rsidTr="001E2D8F">
        <w:tc>
          <w:tcPr>
            <w:tcW w:w="2045" w:type="dxa"/>
          </w:tcPr>
          <w:p w14:paraId="59FDDCC2" w14:textId="77777777" w:rsidR="001E2D8F" w:rsidRPr="001E2D8F" w:rsidRDefault="001E2D8F" w:rsidP="001E2D8F">
            <w:pPr>
              <w:jc w:val="left"/>
              <w:rPr>
                <w:rFonts w:ascii="Calibri" w:hAnsi="Calibri" w:cs="Calibri"/>
                <w:sz w:val="20"/>
              </w:rPr>
            </w:pPr>
            <w:r w:rsidRPr="001E2D8F">
              <w:rPr>
                <w:rFonts w:ascii="Calibri" w:hAnsi="Calibri" w:cs="Calibri"/>
                <w:sz w:val="20"/>
              </w:rPr>
              <w:t>Achat des titres</w:t>
            </w:r>
          </w:p>
        </w:tc>
        <w:tc>
          <w:tcPr>
            <w:tcW w:w="4147" w:type="dxa"/>
          </w:tcPr>
          <w:p w14:paraId="7B0AF370" w14:textId="77777777" w:rsidR="001E2D8F" w:rsidRPr="001E2D8F" w:rsidRDefault="001E2D8F" w:rsidP="001E2D8F">
            <w:pPr>
              <w:jc w:val="left"/>
              <w:rPr>
                <w:rFonts w:ascii="Calibri" w:hAnsi="Calibri" w:cs="Calibri"/>
                <w:sz w:val="20"/>
              </w:rPr>
            </w:pPr>
            <w:r w:rsidRPr="001E2D8F">
              <w:rPr>
                <w:rFonts w:ascii="Calibri" w:hAnsi="Calibri" w:cs="Calibri"/>
                <w:sz w:val="20"/>
              </w:rPr>
              <w:t>Changement des associés de la société qui poursuit son activité</w:t>
            </w:r>
          </w:p>
        </w:tc>
        <w:tc>
          <w:tcPr>
            <w:tcW w:w="4176" w:type="dxa"/>
          </w:tcPr>
          <w:p w14:paraId="6E29FE47" w14:textId="77777777" w:rsidR="001E2D8F" w:rsidRPr="001E2D8F" w:rsidRDefault="001E2D8F" w:rsidP="001E2D8F">
            <w:pPr>
              <w:jc w:val="left"/>
              <w:rPr>
                <w:rFonts w:ascii="Calibri" w:hAnsi="Calibri" w:cs="Calibri"/>
                <w:sz w:val="20"/>
              </w:rPr>
            </w:pPr>
            <w:r w:rsidRPr="001E2D8F">
              <w:rPr>
                <w:rFonts w:ascii="Calibri" w:hAnsi="Calibri" w:cs="Calibri"/>
                <w:sz w:val="20"/>
              </w:rPr>
              <w:t>Obligations conservées et risques antérieurs</w:t>
            </w:r>
          </w:p>
        </w:tc>
      </w:tr>
      <w:tr w:rsidR="001E2D8F" w:rsidRPr="001E2D8F" w14:paraId="7C62C003" w14:textId="77777777" w:rsidTr="001E2D8F">
        <w:tc>
          <w:tcPr>
            <w:tcW w:w="2045" w:type="dxa"/>
          </w:tcPr>
          <w:p w14:paraId="770F26A8" w14:textId="77777777" w:rsidR="001E2D8F" w:rsidRPr="001E2D8F" w:rsidRDefault="001E2D8F" w:rsidP="001E2D8F">
            <w:pPr>
              <w:jc w:val="left"/>
              <w:rPr>
                <w:rFonts w:ascii="Calibri" w:hAnsi="Calibri" w:cs="Calibri"/>
                <w:sz w:val="20"/>
              </w:rPr>
            </w:pPr>
            <w:r w:rsidRPr="001E2D8F">
              <w:rPr>
                <w:rFonts w:ascii="Calibri" w:hAnsi="Calibri" w:cs="Calibri"/>
                <w:sz w:val="20"/>
              </w:rPr>
              <w:t>Location-gérance</w:t>
            </w:r>
          </w:p>
        </w:tc>
        <w:tc>
          <w:tcPr>
            <w:tcW w:w="4147" w:type="dxa"/>
          </w:tcPr>
          <w:p w14:paraId="1B4AEB47" w14:textId="77777777" w:rsidR="001E2D8F" w:rsidRPr="001E2D8F" w:rsidRDefault="001E2D8F" w:rsidP="001E2D8F">
            <w:pPr>
              <w:jc w:val="left"/>
              <w:rPr>
                <w:rFonts w:ascii="Calibri" w:hAnsi="Calibri" w:cs="Calibri"/>
                <w:sz w:val="20"/>
              </w:rPr>
            </w:pPr>
            <w:r w:rsidRPr="001E2D8F">
              <w:rPr>
                <w:rFonts w:ascii="Calibri" w:hAnsi="Calibri" w:cs="Calibri"/>
                <w:sz w:val="20"/>
              </w:rPr>
              <w:t>Exploitation d’un fonds contre une redevance</w:t>
            </w:r>
          </w:p>
        </w:tc>
        <w:tc>
          <w:tcPr>
            <w:tcW w:w="4176" w:type="dxa"/>
          </w:tcPr>
          <w:p w14:paraId="2430BA2B" w14:textId="77777777" w:rsidR="001E2D8F" w:rsidRPr="001E2D8F" w:rsidRDefault="001E2D8F" w:rsidP="001E2D8F">
            <w:pPr>
              <w:jc w:val="left"/>
              <w:rPr>
                <w:rFonts w:ascii="Calibri" w:hAnsi="Calibri" w:cs="Calibri"/>
                <w:sz w:val="20"/>
              </w:rPr>
            </w:pPr>
            <w:r w:rsidRPr="001E2D8F">
              <w:rPr>
                <w:rFonts w:ascii="Calibri" w:hAnsi="Calibri" w:cs="Calibri"/>
                <w:sz w:val="20"/>
              </w:rPr>
              <w:t>Marge après redevance et absence d’achat automatique</w:t>
            </w:r>
          </w:p>
        </w:tc>
      </w:tr>
      <w:tr w:rsidR="001E2D8F" w:rsidRPr="001E2D8F" w14:paraId="2F443FC8" w14:textId="77777777" w:rsidTr="001E2D8F">
        <w:tc>
          <w:tcPr>
            <w:tcW w:w="2045" w:type="dxa"/>
          </w:tcPr>
          <w:p w14:paraId="736D1C5C" w14:textId="77777777" w:rsidR="001E2D8F" w:rsidRPr="001E2D8F" w:rsidRDefault="001E2D8F" w:rsidP="001E2D8F">
            <w:pPr>
              <w:jc w:val="left"/>
              <w:rPr>
                <w:rFonts w:ascii="Calibri" w:hAnsi="Calibri" w:cs="Calibri"/>
                <w:sz w:val="20"/>
              </w:rPr>
            </w:pPr>
            <w:r w:rsidRPr="001E2D8F">
              <w:rPr>
                <w:rFonts w:ascii="Calibri" w:hAnsi="Calibri" w:cs="Calibri"/>
                <w:sz w:val="20"/>
              </w:rPr>
              <w:t>Reprise par les dirigeants</w:t>
            </w:r>
          </w:p>
        </w:tc>
        <w:tc>
          <w:tcPr>
            <w:tcW w:w="4147" w:type="dxa"/>
          </w:tcPr>
          <w:p w14:paraId="3BE5FD91" w14:textId="77777777" w:rsidR="001E2D8F" w:rsidRPr="001E2D8F" w:rsidRDefault="001E2D8F" w:rsidP="001E2D8F">
            <w:pPr>
              <w:jc w:val="left"/>
              <w:rPr>
                <w:rFonts w:ascii="Calibri" w:hAnsi="Calibri" w:cs="Calibri"/>
                <w:sz w:val="20"/>
              </w:rPr>
            </w:pPr>
            <w:r w:rsidRPr="001E2D8F">
              <w:rPr>
                <w:rFonts w:ascii="Calibri" w:hAnsi="Calibri" w:cs="Calibri"/>
                <w:sz w:val="20"/>
              </w:rPr>
              <w:t>Les dirigeants participent à l’acquisition, souvent avec des financeurs</w:t>
            </w:r>
          </w:p>
        </w:tc>
        <w:tc>
          <w:tcPr>
            <w:tcW w:w="4176" w:type="dxa"/>
          </w:tcPr>
          <w:p w14:paraId="013D7F2B" w14:textId="77777777" w:rsidR="001E2D8F" w:rsidRPr="001E2D8F" w:rsidRDefault="001E2D8F" w:rsidP="001E2D8F">
            <w:pPr>
              <w:jc w:val="left"/>
              <w:rPr>
                <w:rFonts w:ascii="Calibri" w:hAnsi="Calibri" w:cs="Calibri"/>
                <w:sz w:val="20"/>
              </w:rPr>
            </w:pPr>
            <w:r w:rsidRPr="001E2D8F">
              <w:rPr>
                <w:rFonts w:ascii="Calibri" w:hAnsi="Calibri" w:cs="Calibri"/>
                <w:sz w:val="20"/>
              </w:rPr>
              <w:t>Compétences internes et charge de la dette</w:t>
            </w:r>
          </w:p>
        </w:tc>
      </w:tr>
    </w:tbl>
    <w:p w14:paraId="684FA71C" w14:textId="77777777" w:rsidR="001E2D8F" w:rsidRDefault="001E2D8F" w:rsidP="001E2D8F">
      <w:pPr>
        <w:spacing w:after="0" w:line="240" w:lineRule="auto"/>
      </w:pPr>
    </w:p>
    <w:p w14:paraId="52CABF24" w14:textId="77777777" w:rsidR="001E2D8F" w:rsidRDefault="001E2D8F" w:rsidP="001E2D8F">
      <w:pPr>
        <w:spacing w:after="0" w:line="240" w:lineRule="auto"/>
      </w:pPr>
      <w:r>
        <w:t>Dans une cession de fonds, les dettes et créances ne sont en principe pas transférées. Les stocks font l’objet d’une évaluation distincte. Certains contrats suivent des règles particulières. Le périmètre doit donc être défini avec précision [3].</w:t>
      </w:r>
    </w:p>
    <w:p w14:paraId="4713A1B1" w14:textId="77777777" w:rsidR="001E2D8F" w:rsidRDefault="001E2D8F" w:rsidP="001E2D8F">
      <w:pPr>
        <w:spacing w:after="0" w:line="240" w:lineRule="auto"/>
      </w:pPr>
      <w:r>
        <w:lastRenderedPageBreak/>
        <w:t>Une société holding peut acquérir les titres et porter la dette d’acquisition. Il faut alors distinguer les comptes de la cible et ceux de la holding. Le remboursement dépend notamment de distributions effectivement possibles et de la trésorerie que l’activité peut dégager [4].</w:t>
      </w:r>
    </w:p>
    <w:p w14:paraId="572EE66E" w14:textId="77777777" w:rsidR="001E2D8F" w:rsidRDefault="001E2D8F" w:rsidP="001E2D8F">
      <w:pPr>
        <w:pStyle w:val="Titre2"/>
        <w:spacing w:before="0" w:after="0" w:line="240" w:lineRule="auto"/>
      </w:pPr>
      <w:r>
        <w:t>7.2- Chiffrer les conditions de la transaction</w:t>
      </w:r>
    </w:p>
    <w:p w14:paraId="3D4AEFB7"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Prix et date de référence des comptes, avec modalités d’ajustement.</w:t>
      </w:r>
    </w:p>
    <w:p w14:paraId="7EDB0C94"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Sort des comptes courants d’associés, de la dette et de la trésorerie.</w:t>
      </w:r>
    </w:p>
    <w:p w14:paraId="347E8673"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Paiement immédiat, crédit vendeur et éventuel complément de prix.</w:t>
      </w:r>
    </w:p>
    <w:p w14:paraId="74F8A6D7"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Accompagnement du cédant et coût de la transition.</w:t>
      </w:r>
    </w:p>
    <w:p w14:paraId="022587BC"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Conditions suspensives, notamment financement ou autorisations.</w:t>
      </w:r>
    </w:p>
    <w:p w14:paraId="74D4F410"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Garanties, sûretés, non-concurrence et règlement des litiges.</w:t>
      </w:r>
    </w:p>
    <w:p w14:paraId="28A3EF92" w14:textId="77777777" w:rsidR="001E2D8F" w:rsidRDefault="001E2D8F" w:rsidP="001E2D8F">
      <w:pPr>
        <w:spacing w:after="0" w:line="240" w:lineRule="auto"/>
      </w:pPr>
      <w:r>
        <w:t>Un crédit vendeur diffère une partie du paiement, mais crée une échéance future. Un complément de prix dépend d’un critère convenu et nécessite des règles de calcul contrôlables. Le sort des cautions personnelles du cédant se négocie aussi avec les créanciers concernés.</w:t>
      </w:r>
    </w:p>
    <w:p w14:paraId="342A71DB" w14:textId="77777777" w:rsidR="001E2D8F" w:rsidRDefault="001E2D8F" w:rsidP="001E2D8F">
      <w:pPr>
        <w:pStyle w:val="Titre2"/>
        <w:spacing w:before="0" w:after="0" w:line="240" w:lineRule="auto"/>
      </w:pPr>
      <w:r>
        <w:t>7.3- Définir la garantie d’actif et de passif</w:t>
      </w:r>
    </w:p>
    <w:p w14:paraId="5B5EB2C7" w14:textId="410BAC61" w:rsidR="001E2D8F" w:rsidRDefault="001E2D8F" w:rsidP="001E2D8F">
      <w:pPr>
        <w:spacing w:after="0" w:line="240" w:lineRule="auto"/>
      </w:pPr>
      <w:r>
        <w:t>La garantie d’actif et de passif couvre les risques définis au contrat, généralement liés à une origine antérieure à la cession</w:t>
      </w:r>
      <w:r>
        <w:t> :</w:t>
      </w:r>
      <w:r>
        <w:t xml:space="preserve"> insuffisance d’actif ou passif révélé ultérieurement. Son contenu précise les bénéficiaires, la période, le plafond, les exclusions et les modalités de réclamation. Un seuil de déclenchement et une franchise peuvent produire des effets différents [5].</w:t>
      </w:r>
    </w:p>
    <w:p w14:paraId="5AFD5C6D" w14:textId="77777777" w:rsidR="001E2D8F" w:rsidRDefault="001E2D8F" w:rsidP="001E2D8F">
      <w:pPr>
        <w:spacing w:after="0" w:line="240" w:lineRule="auto"/>
      </w:pPr>
      <w:r>
        <w:t>Une garantie de paiement de l’indemnité peut prendre la forme d’un séquestre ou d’une sûreté. La garantie d’actif et de passif ne couvre pas automatiquement une baisse future des ventes. Les effets fiscaux et les formalités sont déterminés selon l’opération, sans appliquer un taux général à toutes les reprises.</w:t>
      </w:r>
    </w:p>
    <w:p w14:paraId="1E7EA201" w14:textId="77777777" w:rsidR="001E2D8F" w:rsidRDefault="001E2D8F" w:rsidP="001E2D8F">
      <w:pPr>
        <w:spacing w:after="0" w:line="240" w:lineRule="auto"/>
      </w:pPr>
    </w:p>
    <w:p w14:paraId="44CF9D29" w14:textId="3D9F2C98" w:rsidR="001E2D8F" w:rsidRDefault="001E2D8F" w:rsidP="001E2D8F">
      <w:pPr>
        <w:spacing w:after="0" w:line="240" w:lineRule="auto"/>
      </w:pPr>
    </w:p>
    <w:p w14:paraId="6BCD0662" w14:textId="77777777" w:rsidR="001E2D8F" w:rsidRDefault="001E2D8F" w:rsidP="001E2D8F">
      <w:pPr>
        <w:pStyle w:val="Titre1"/>
        <w:spacing w:before="0" w:after="0" w:line="240" w:lineRule="auto"/>
      </w:pPr>
      <w:r>
        <w:t>8- Financer la reprise et le cycle d’exploitation</w:t>
      </w:r>
    </w:p>
    <w:p w14:paraId="337ACB4C" w14:textId="77777777" w:rsidR="001E2D8F" w:rsidRDefault="001E2D8F" w:rsidP="001E2D8F">
      <w:pPr>
        <w:pStyle w:val="Titre2"/>
        <w:spacing w:before="0" w:after="0" w:line="240" w:lineRule="auto"/>
      </w:pPr>
      <w:r>
        <w:t>8.1- Recenser la totalité des besoins</w:t>
      </w:r>
    </w:p>
    <w:p w14:paraId="08D5F974" w14:textId="77777777" w:rsidR="001E2D8F" w:rsidRDefault="001E2D8F" w:rsidP="001E2D8F">
      <w:pPr>
        <w:spacing w:after="0" w:line="240" w:lineRule="auto"/>
      </w:pPr>
      <w:r>
        <w:t>Le plan initial intègre le prix, les honoraires, les droits et frais, les investissements immédiats, les remboursements convenus et le besoin de trésorerie supplémentaire. Les ressources peuvent comprendre les apports, des investisseurs, des emprunts et un crédit vendeur. Leur disponibilité doit coïncider avec les décaissements.</w:t>
      </w:r>
    </w:p>
    <w:p w14:paraId="13CF9EA0" w14:textId="77777777" w:rsidR="001E2D8F" w:rsidRDefault="001E2D8F" w:rsidP="001E2D8F">
      <w:pPr>
        <w:spacing w:after="0" w:line="240" w:lineRule="auto"/>
      </w:pPr>
      <w:r>
        <w:t>Dans une reprise de titres, le cycle d’exploitation déjà présent dans la cible n’est pas automatiquement à financer une seconde fois. On étudie son financement existant, les ressources qui restent disponibles et les besoins additionnels. Dans une reprise de fonds, le repreneur reconstitue le cycle correspondant au périmètre acquis.</w:t>
      </w:r>
    </w:p>
    <w:p w14:paraId="1F051E8B" w14:textId="77777777" w:rsidR="001E2D8F" w:rsidRDefault="001E2D8F" w:rsidP="001E2D8F">
      <w:pPr>
        <w:pStyle w:val="Titre2"/>
        <w:spacing w:before="0" w:after="0" w:line="240" w:lineRule="auto"/>
      </w:pPr>
      <w:r>
        <w:t>8.2- Calculer le besoin d’exploitation</w:t>
      </w:r>
    </w:p>
    <w:p w14:paraId="227179BD" w14:textId="77777777" w:rsidR="001E2D8F" w:rsidRDefault="001E2D8F" w:rsidP="001E2D8F">
      <w:pPr>
        <w:spacing w:after="0" w:line="240" w:lineRule="auto"/>
      </w:pPr>
      <w:r>
        <w:rPr>
          <w:b/>
          <w:sz w:val="21"/>
        </w:rPr>
        <w:t>Besoin d’exploitation = stocks + créances d’exploitation − dettes d’exploitation</w:t>
      </w:r>
    </w:p>
    <w:p w14:paraId="765806D2" w14:textId="77777777" w:rsidR="001E2D8F" w:rsidRDefault="001E2D8F" w:rsidP="001E2D8F">
      <w:pPr>
        <w:spacing w:after="0" w:line="240" w:lineRule="auto"/>
      </w:pPr>
      <w:r>
        <w:t>Une approximation limitée aux principaux postes donne stocks + créances clients − dettes fournisseurs. Les autres créances et dettes d’exploitation doivent être intégrées lorsqu’elles sont significatives.</w:t>
      </w:r>
    </w:p>
    <w:p w14:paraId="2A0AAB37" w14:textId="77777777" w:rsidR="001E2D8F" w:rsidRDefault="001E2D8F" w:rsidP="001E2D8F">
      <w:pPr>
        <w:spacing w:after="0" w:line="240" w:lineRule="auto"/>
      </w:pPr>
      <w:r>
        <w:rPr>
          <w:b/>
          <w:sz w:val="21"/>
        </w:rPr>
        <w:t>Créances clients moyennes ≈ ventes annuelles à crédit × délai client / 365</w:t>
      </w:r>
    </w:p>
    <w:p w14:paraId="76571972" w14:textId="77777777" w:rsidR="001E2D8F" w:rsidRDefault="001E2D8F" w:rsidP="001E2D8F">
      <w:pPr>
        <w:spacing w:after="0" w:line="240" w:lineRule="auto"/>
      </w:pPr>
      <w:r>
        <w:rPr>
          <w:b/>
          <w:sz w:val="21"/>
        </w:rPr>
        <w:t>Dettes fournisseurs moyennes ≈ achats annuels à crédit × délai fournisseur / 365</w:t>
      </w:r>
    </w:p>
    <w:p w14:paraId="06781AA9" w14:textId="77777777" w:rsidR="001E2D8F" w:rsidRDefault="001E2D8F" w:rsidP="001E2D8F">
      <w:pPr>
        <w:spacing w:after="0" w:line="240" w:lineRule="auto"/>
      </w:pPr>
      <w:r>
        <w:rPr>
          <w:b/>
          <w:sz w:val="21"/>
        </w:rPr>
        <w:t>Stock moyen ≈ coût annuel correspondant au stock × durée de stockage / 365</w:t>
      </w:r>
    </w:p>
    <w:p w14:paraId="48A37CC4" w14:textId="05BE97C4" w:rsidR="001E2D8F" w:rsidRDefault="001E2D8F" w:rsidP="001E2D8F">
      <w:pPr>
        <w:spacing w:after="0" w:line="240" w:lineRule="auto"/>
      </w:pPr>
      <w:r>
        <w:t>Les bases diffèrent</w:t>
      </w:r>
      <w:r>
        <w:t> :</w:t>
      </w:r>
      <w:r>
        <w:t xml:space="preserve"> les créances et dettes commerciales incluent les taxes facturées applicables, alors que les stocks sont évalués au coût. On ne peut donc pas soustraire systématiquement les délais pour les appliquer tous au chiffre d’affaires. Une base annuelle de 360 jours reste possible si l’ensemble des calculs est cohérent.</w:t>
      </w:r>
    </w:p>
    <w:p w14:paraId="42F64DF5" w14:textId="77777777" w:rsidR="001E2D8F" w:rsidRDefault="001E2D8F" w:rsidP="001E2D8F">
      <w:pPr>
        <w:pStyle w:val="Titre2"/>
        <w:spacing w:before="0" w:after="0" w:line="240" w:lineRule="auto"/>
      </w:pPr>
      <w:r>
        <w:t>8.3- Mesurer le financement de la croissance</w:t>
      </w:r>
    </w:p>
    <w:p w14:paraId="7E199946" w14:textId="77777777" w:rsidR="001E2D8F" w:rsidRDefault="001E2D8F" w:rsidP="001E2D8F">
      <w:pPr>
        <w:spacing w:after="0" w:line="240" w:lineRule="auto"/>
      </w:pPr>
      <w:r>
        <w:rPr>
          <w:b/>
          <w:sz w:val="21"/>
        </w:rPr>
        <w:t>Besoin supplémentaire ≈ coefficient de besoin × hausse du chiffre d’affaires</w:t>
      </w:r>
    </w:p>
    <w:p w14:paraId="371A1A80" w14:textId="5C61F250" w:rsidR="001E2D8F" w:rsidRDefault="001E2D8F" w:rsidP="001E2D8F">
      <w:pPr>
        <w:spacing w:after="0" w:line="240" w:lineRule="auto"/>
      </w:pPr>
      <w:r>
        <w:t>Si le besoin représente 15</w:t>
      </w:r>
      <w:r>
        <w:t> %</w:t>
      </w:r>
      <w:r>
        <w:t xml:space="preserve"> du chiffre d’affaires et que celui-ci augmente de 400 000</w:t>
      </w:r>
      <w:r>
        <w:t> €</w:t>
      </w:r>
      <w:r>
        <w:t>, la ressource supplémentaire à prévoir est de 60 000</w:t>
      </w:r>
      <w:r>
        <w:t> €</w:t>
      </w:r>
      <w:r>
        <w:t>, à structure et délais constants. La hausse des ventes peut ainsi consommer de la trésorerie avant d’en produire.</w:t>
      </w:r>
    </w:p>
    <w:p w14:paraId="7F7774F1" w14:textId="3EDEAC8D" w:rsidR="001E2D8F" w:rsidRDefault="001E2D8F" w:rsidP="001E2D8F">
      <w:pPr>
        <w:spacing w:after="0" w:line="240" w:lineRule="auto"/>
      </w:pPr>
      <w:r>
        <w:t>Un calcul simplifié de 25 000 × (45 + 60 − 30) / 365 donne 5 137</w:t>
      </w:r>
      <w:r>
        <w:t> €</w:t>
      </w:r>
      <w:r>
        <w:t xml:space="preserve"> après arrondi. Il suppose explicitement des postes convertis sur une base commune. Cette condition doit être vérifiée avant de l’utiliser.</w:t>
      </w:r>
    </w:p>
    <w:p w14:paraId="24CE3697" w14:textId="77777777" w:rsidR="001E2D8F" w:rsidRDefault="001E2D8F" w:rsidP="001E2D8F">
      <w:pPr>
        <w:pStyle w:val="Titre2"/>
        <w:spacing w:before="0" w:after="0" w:line="240" w:lineRule="auto"/>
      </w:pPr>
      <w:r>
        <w:lastRenderedPageBreak/>
        <w:t>8.4- Apprécier une limite de croissance sans crédit nouveau</w:t>
      </w:r>
    </w:p>
    <w:p w14:paraId="16110E35" w14:textId="17C54EB3" w:rsidR="001E2D8F" w:rsidRDefault="001E2D8F" w:rsidP="001E2D8F">
      <w:pPr>
        <w:spacing w:after="0" w:line="240" w:lineRule="auto"/>
      </w:pPr>
      <w:r>
        <w:t>À coefficient de besoin constant et positif, la hausse de chiffre d’affaires finançable peut être estimée en divisant la trésorerie interne encore disponible par ce coefficient. Cette trésorerie est calculée après impôts, investissements et remboursements à assurer. La relation reste une approximation</w:t>
      </w:r>
      <w:r>
        <w:t> :</w:t>
      </w:r>
      <w:r>
        <w:t xml:space="preserve"> saisonnalité et dégradation des délais peuvent réduire fortement la croissance soutenable.</w:t>
      </w:r>
    </w:p>
    <w:p w14:paraId="288A3D70" w14:textId="77777777" w:rsidR="001E2D8F" w:rsidRDefault="001E2D8F" w:rsidP="001E2D8F">
      <w:pPr>
        <w:spacing w:after="0" w:line="240" w:lineRule="auto"/>
      </w:pPr>
    </w:p>
    <w:p w14:paraId="275AC871" w14:textId="7B19D195" w:rsidR="001E2D8F" w:rsidRDefault="001E2D8F" w:rsidP="001E2D8F">
      <w:pPr>
        <w:spacing w:after="0" w:line="240" w:lineRule="auto"/>
      </w:pPr>
    </w:p>
    <w:p w14:paraId="60C871F0" w14:textId="77777777" w:rsidR="001E2D8F" w:rsidRDefault="001E2D8F" w:rsidP="001E2D8F">
      <w:pPr>
        <w:pStyle w:val="Titre1"/>
        <w:spacing w:before="0" w:after="0" w:line="240" w:lineRule="auto"/>
      </w:pPr>
      <w:r>
        <w:t>9- Construire les prévisions et sécuriser la décision</w:t>
      </w:r>
    </w:p>
    <w:p w14:paraId="04C7EAB1" w14:textId="77777777" w:rsidR="001E2D8F" w:rsidRDefault="001E2D8F" w:rsidP="001E2D8F">
      <w:pPr>
        <w:pStyle w:val="Titre2"/>
        <w:spacing w:before="0" w:after="0" w:line="240" w:lineRule="auto"/>
      </w:pPr>
      <w:r>
        <w:t>9.1- Relier les budgets</w:t>
      </w:r>
    </w:p>
    <w:p w14:paraId="04834E5D" w14:textId="77777777" w:rsidR="001E2D8F" w:rsidRDefault="001E2D8F" w:rsidP="001E2D8F">
      <w:pPr>
        <w:spacing w:after="0" w:line="240" w:lineRule="auto"/>
      </w:pPr>
      <w:r>
        <w:t>Les hypothèses commerciales déterminent les ventes prévues. Les volumes pilotent les approvisionnements, la production et les besoins en personnel. Les investissements influencent les décaissements, la capacité et les amortissements. Le financement détermine les intérêts et les remboursements.</w:t>
      </w:r>
    </w:p>
    <w:p w14:paraId="3C61F2E4" w14:textId="77777777" w:rsidR="001E2D8F" w:rsidRDefault="001E2D8F" w:rsidP="001E2D8F">
      <w:pPr>
        <w:spacing w:after="0" w:line="240" w:lineRule="auto"/>
      </w:pPr>
      <w:r>
        <w:t>Le compte de résultat prévisionnel mesure la rentabilité. Le budget de trésorerie, construit au moins mensuellement au démarrage, situe les encaissements et décaissements. Le plan de financement pluriannuel apprécie la couverture durable des besoins. Un résultat positif peut coexister avec un déficit de trésorerie.</w:t>
      </w:r>
    </w:p>
    <w:p w14:paraId="14AFFC02" w14:textId="77777777" w:rsidR="001E2D8F" w:rsidRDefault="001E2D8F" w:rsidP="001E2D8F">
      <w:pPr>
        <w:spacing w:after="0" w:line="240" w:lineRule="auto"/>
      </w:pPr>
      <w:r>
        <w:rPr>
          <w:b/>
          <w:sz w:val="21"/>
        </w:rPr>
        <w:t>Trésorerie de fin de mois = trésorerie de début + encaissements − décaissements</w:t>
      </w:r>
    </w:p>
    <w:p w14:paraId="3E6390C6" w14:textId="77777777" w:rsidR="001E2D8F" w:rsidRDefault="001E2D8F" w:rsidP="001E2D8F">
      <w:pPr>
        <w:spacing w:after="0" w:line="240" w:lineRule="auto"/>
      </w:pPr>
      <w:r>
        <w:t>Le remboursement du capital d’un emprunt est un décaissement sans constituer une charge du résultat. Un amortissement constitue une charge sans paiement immédiat. Ces distinctions sont essentielles pour passer de la performance comptable à la trésorerie.</w:t>
      </w:r>
    </w:p>
    <w:p w14:paraId="0CB5D0AD" w14:textId="77777777" w:rsidR="001E2D8F" w:rsidRDefault="001E2D8F" w:rsidP="001E2D8F">
      <w:pPr>
        <w:pStyle w:val="Titre2"/>
        <w:spacing w:before="0" w:after="0" w:line="240" w:lineRule="auto"/>
      </w:pPr>
      <w:r>
        <w:t>9.2- Tester plusieurs scénarios</w:t>
      </w:r>
    </w:p>
    <w:tbl>
      <w:tblPr>
        <w:tblStyle w:val="Grilledutableau"/>
        <w:tblW w:w="0" w:type="auto"/>
        <w:tblLayout w:type="fixed"/>
        <w:tblLook w:val="04A0" w:firstRow="1" w:lastRow="0" w:firstColumn="1" w:lastColumn="0" w:noHBand="0" w:noVBand="1"/>
      </w:tblPr>
      <w:tblGrid>
        <w:gridCol w:w="2045"/>
        <w:gridCol w:w="4147"/>
        <w:gridCol w:w="4176"/>
      </w:tblGrid>
      <w:tr w:rsidR="001E2D8F" w:rsidRPr="001E2D8F" w14:paraId="7A30E26F" w14:textId="77777777" w:rsidTr="001E2D8F">
        <w:trPr>
          <w:tblHeader/>
        </w:trPr>
        <w:tc>
          <w:tcPr>
            <w:tcW w:w="2045" w:type="dxa"/>
          </w:tcPr>
          <w:p w14:paraId="36134109" w14:textId="77777777" w:rsidR="001E2D8F" w:rsidRPr="001E2D8F" w:rsidRDefault="001E2D8F" w:rsidP="001E2D8F">
            <w:pPr>
              <w:jc w:val="left"/>
              <w:rPr>
                <w:rFonts w:ascii="Calibri" w:hAnsi="Calibri" w:cs="Calibri"/>
                <w:sz w:val="20"/>
              </w:rPr>
            </w:pPr>
            <w:r w:rsidRPr="001E2D8F">
              <w:rPr>
                <w:rFonts w:ascii="Calibri" w:hAnsi="Calibri" w:cs="Calibri"/>
                <w:b/>
                <w:sz w:val="20"/>
              </w:rPr>
              <w:t>Hypothèse testée</w:t>
            </w:r>
          </w:p>
        </w:tc>
        <w:tc>
          <w:tcPr>
            <w:tcW w:w="4147" w:type="dxa"/>
          </w:tcPr>
          <w:p w14:paraId="1BB2B4FD" w14:textId="77777777" w:rsidR="001E2D8F" w:rsidRPr="001E2D8F" w:rsidRDefault="001E2D8F" w:rsidP="001E2D8F">
            <w:pPr>
              <w:jc w:val="left"/>
              <w:rPr>
                <w:rFonts w:ascii="Calibri" w:hAnsi="Calibri" w:cs="Calibri"/>
                <w:sz w:val="20"/>
              </w:rPr>
            </w:pPr>
            <w:r w:rsidRPr="001E2D8F">
              <w:rPr>
                <w:rFonts w:ascii="Calibri" w:hAnsi="Calibri" w:cs="Calibri"/>
                <w:b/>
                <w:sz w:val="20"/>
              </w:rPr>
              <w:t>Effet possible sur le résultat</w:t>
            </w:r>
          </w:p>
        </w:tc>
        <w:tc>
          <w:tcPr>
            <w:tcW w:w="4176" w:type="dxa"/>
          </w:tcPr>
          <w:p w14:paraId="31D602A9" w14:textId="77777777" w:rsidR="001E2D8F" w:rsidRPr="001E2D8F" w:rsidRDefault="001E2D8F" w:rsidP="001E2D8F">
            <w:pPr>
              <w:jc w:val="left"/>
              <w:rPr>
                <w:rFonts w:ascii="Calibri" w:hAnsi="Calibri" w:cs="Calibri"/>
                <w:sz w:val="20"/>
              </w:rPr>
            </w:pPr>
            <w:r w:rsidRPr="001E2D8F">
              <w:rPr>
                <w:rFonts w:ascii="Calibri" w:hAnsi="Calibri" w:cs="Calibri"/>
                <w:b/>
                <w:sz w:val="20"/>
              </w:rPr>
              <w:t>Effet possible sur la trésorerie</w:t>
            </w:r>
          </w:p>
        </w:tc>
      </w:tr>
      <w:tr w:rsidR="001E2D8F" w:rsidRPr="001E2D8F" w14:paraId="692136D9" w14:textId="77777777" w:rsidTr="001E2D8F">
        <w:tc>
          <w:tcPr>
            <w:tcW w:w="2045" w:type="dxa"/>
          </w:tcPr>
          <w:p w14:paraId="406BC2BF" w14:textId="0C2AD155" w:rsidR="001E2D8F" w:rsidRPr="001E2D8F" w:rsidRDefault="001E2D8F" w:rsidP="001E2D8F">
            <w:pPr>
              <w:jc w:val="left"/>
              <w:rPr>
                <w:rFonts w:ascii="Calibri" w:hAnsi="Calibri" w:cs="Calibri"/>
                <w:sz w:val="20"/>
              </w:rPr>
            </w:pPr>
            <w:r w:rsidRPr="001E2D8F">
              <w:rPr>
                <w:rFonts w:ascii="Calibri" w:hAnsi="Calibri" w:cs="Calibri"/>
                <w:sz w:val="20"/>
              </w:rPr>
              <w:t>Ventes en baisse de 10</w:t>
            </w:r>
            <w:r w:rsidRPr="001E2D8F">
              <w:rPr>
                <w:rFonts w:ascii="Calibri" w:hAnsi="Calibri" w:cs="Calibri"/>
                <w:sz w:val="20"/>
              </w:rPr>
              <w:t> %</w:t>
            </w:r>
          </w:p>
        </w:tc>
        <w:tc>
          <w:tcPr>
            <w:tcW w:w="4147" w:type="dxa"/>
          </w:tcPr>
          <w:p w14:paraId="011AEE23" w14:textId="77777777" w:rsidR="001E2D8F" w:rsidRPr="001E2D8F" w:rsidRDefault="001E2D8F" w:rsidP="001E2D8F">
            <w:pPr>
              <w:jc w:val="left"/>
              <w:rPr>
                <w:rFonts w:ascii="Calibri" w:hAnsi="Calibri" w:cs="Calibri"/>
                <w:sz w:val="20"/>
              </w:rPr>
            </w:pPr>
            <w:r w:rsidRPr="001E2D8F">
              <w:rPr>
                <w:rFonts w:ascii="Calibri" w:hAnsi="Calibri" w:cs="Calibri"/>
                <w:sz w:val="20"/>
              </w:rPr>
              <w:t>Réduction de la marge sur coût variable</w:t>
            </w:r>
          </w:p>
        </w:tc>
        <w:tc>
          <w:tcPr>
            <w:tcW w:w="4176" w:type="dxa"/>
          </w:tcPr>
          <w:p w14:paraId="012E528A" w14:textId="77777777" w:rsidR="001E2D8F" w:rsidRPr="001E2D8F" w:rsidRDefault="001E2D8F" w:rsidP="001E2D8F">
            <w:pPr>
              <w:jc w:val="left"/>
              <w:rPr>
                <w:rFonts w:ascii="Calibri" w:hAnsi="Calibri" w:cs="Calibri"/>
                <w:sz w:val="20"/>
              </w:rPr>
            </w:pPr>
            <w:r w:rsidRPr="001E2D8F">
              <w:rPr>
                <w:rFonts w:ascii="Calibri" w:hAnsi="Calibri" w:cs="Calibri"/>
                <w:sz w:val="20"/>
              </w:rPr>
              <w:t>Moins d’encaissements, stocks possibles</w:t>
            </w:r>
          </w:p>
        </w:tc>
      </w:tr>
      <w:tr w:rsidR="001E2D8F" w:rsidRPr="001E2D8F" w14:paraId="43A72E0B" w14:textId="77777777" w:rsidTr="001E2D8F">
        <w:tc>
          <w:tcPr>
            <w:tcW w:w="2045" w:type="dxa"/>
          </w:tcPr>
          <w:p w14:paraId="3A420972" w14:textId="5208C78F" w:rsidR="001E2D8F" w:rsidRPr="001E2D8F" w:rsidRDefault="001E2D8F" w:rsidP="001E2D8F">
            <w:pPr>
              <w:jc w:val="left"/>
              <w:rPr>
                <w:rFonts w:ascii="Calibri" w:hAnsi="Calibri" w:cs="Calibri"/>
                <w:sz w:val="20"/>
              </w:rPr>
            </w:pPr>
            <w:r w:rsidRPr="001E2D8F">
              <w:rPr>
                <w:rFonts w:ascii="Calibri" w:hAnsi="Calibri" w:cs="Calibri"/>
                <w:sz w:val="20"/>
              </w:rPr>
              <w:t>Coût d’achat en hausse de 5</w:t>
            </w:r>
            <w:r w:rsidRPr="001E2D8F">
              <w:rPr>
                <w:rFonts w:ascii="Calibri" w:hAnsi="Calibri" w:cs="Calibri"/>
                <w:sz w:val="20"/>
              </w:rPr>
              <w:t> %</w:t>
            </w:r>
          </w:p>
        </w:tc>
        <w:tc>
          <w:tcPr>
            <w:tcW w:w="4147" w:type="dxa"/>
          </w:tcPr>
          <w:p w14:paraId="12712725" w14:textId="77777777" w:rsidR="001E2D8F" w:rsidRPr="001E2D8F" w:rsidRDefault="001E2D8F" w:rsidP="001E2D8F">
            <w:pPr>
              <w:jc w:val="left"/>
              <w:rPr>
                <w:rFonts w:ascii="Calibri" w:hAnsi="Calibri" w:cs="Calibri"/>
                <w:sz w:val="20"/>
              </w:rPr>
            </w:pPr>
            <w:r w:rsidRPr="001E2D8F">
              <w:rPr>
                <w:rFonts w:ascii="Calibri" w:hAnsi="Calibri" w:cs="Calibri"/>
                <w:sz w:val="20"/>
              </w:rPr>
              <w:t>Réduction de la marge unitaire</w:t>
            </w:r>
          </w:p>
        </w:tc>
        <w:tc>
          <w:tcPr>
            <w:tcW w:w="4176" w:type="dxa"/>
          </w:tcPr>
          <w:p w14:paraId="19F769EB" w14:textId="77777777" w:rsidR="001E2D8F" w:rsidRPr="001E2D8F" w:rsidRDefault="001E2D8F" w:rsidP="001E2D8F">
            <w:pPr>
              <w:jc w:val="left"/>
              <w:rPr>
                <w:rFonts w:ascii="Calibri" w:hAnsi="Calibri" w:cs="Calibri"/>
                <w:sz w:val="20"/>
              </w:rPr>
            </w:pPr>
            <w:r w:rsidRPr="001E2D8F">
              <w:rPr>
                <w:rFonts w:ascii="Calibri" w:hAnsi="Calibri" w:cs="Calibri"/>
                <w:sz w:val="20"/>
              </w:rPr>
              <w:t>Plus de paiements fournisseurs</w:t>
            </w:r>
          </w:p>
        </w:tc>
      </w:tr>
      <w:tr w:rsidR="001E2D8F" w:rsidRPr="001E2D8F" w14:paraId="41EB97A3" w14:textId="77777777" w:rsidTr="001E2D8F">
        <w:tc>
          <w:tcPr>
            <w:tcW w:w="2045" w:type="dxa"/>
          </w:tcPr>
          <w:p w14:paraId="7F9E3562" w14:textId="77777777" w:rsidR="001E2D8F" w:rsidRPr="001E2D8F" w:rsidRDefault="001E2D8F" w:rsidP="001E2D8F">
            <w:pPr>
              <w:jc w:val="left"/>
              <w:rPr>
                <w:rFonts w:ascii="Calibri" w:hAnsi="Calibri" w:cs="Calibri"/>
                <w:sz w:val="20"/>
              </w:rPr>
            </w:pPr>
            <w:r w:rsidRPr="001E2D8F">
              <w:rPr>
                <w:rFonts w:ascii="Calibri" w:hAnsi="Calibri" w:cs="Calibri"/>
                <w:sz w:val="20"/>
              </w:rPr>
              <w:t>Délai client allongé de 15 jours</w:t>
            </w:r>
          </w:p>
        </w:tc>
        <w:tc>
          <w:tcPr>
            <w:tcW w:w="4147" w:type="dxa"/>
          </w:tcPr>
          <w:p w14:paraId="7372E530" w14:textId="77777777" w:rsidR="001E2D8F" w:rsidRPr="001E2D8F" w:rsidRDefault="001E2D8F" w:rsidP="001E2D8F">
            <w:pPr>
              <w:jc w:val="left"/>
              <w:rPr>
                <w:rFonts w:ascii="Calibri" w:hAnsi="Calibri" w:cs="Calibri"/>
                <w:sz w:val="20"/>
              </w:rPr>
            </w:pPr>
            <w:r w:rsidRPr="001E2D8F">
              <w:rPr>
                <w:rFonts w:ascii="Calibri" w:hAnsi="Calibri" w:cs="Calibri"/>
                <w:sz w:val="20"/>
              </w:rPr>
              <w:t>Pas d’effet immédiat sur un produit déjà comptabilisé</w:t>
            </w:r>
          </w:p>
        </w:tc>
        <w:tc>
          <w:tcPr>
            <w:tcW w:w="4176" w:type="dxa"/>
          </w:tcPr>
          <w:p w14:paraId="19CF548E" w14:textId="77777777" w:rsidR="001E2D8F" w:rsidRPr="001E2D8F" w:rsidRDefault="001E2D8F" w:rsidP="001E2D8F">
            <w:pPr>
              <w:jc w:val="left"/>
              <w:rPr>
                <w:rFonts w:ascii="Calibri" w:hAnsi="Calibri" w:cs="Calibri"/>
                <w:sz w:val="20"/>
              </w:rPr>
            </w:pPr>
            <w:r w:rsidRPr="001E2D8F">
              <w:rPr>
                <w:rFonts w:ascii="Calibri" w:hAnsi="Calibri" w:cs="Calibri"/>
                <w:sz w:val="20"/>
              </w:rPr>
              <w:t>Créances et besoin de financement accrus</w:t>
            </w:r>
          </w:p>
        </w:tc>
      </w:tr>
      <w:tr w:rsidR="001E2D8F" w:rsidRPr="001E2D8F" w14:paraId="19CA6BCB" w14:textId="77777777" w:rsidTr="001E2D8F">
        <w:tc>
          <w:tcPr>
            <w:tcW w:w="2045" w:type="dxa"/>
          </w:tcPr>
          <w:p w14:paraId="06253012" w14:textId="77777777" w:rsidR="001E2D8F" w:rsidRPr="001E2D8F" w:rsidRDefault="001E2D8F" w:rsidP="001E2D8F">
            <w:pPr>
              <w:jc w:val="left"/>
              <w:rPr>
                <w:rFonts w:ascii="Calibri" w:hAnsi="Calibri" w:cs="Calibri"/>
                <w:sz w:val="20"/>
              </w:rPr>
            </w:pPr>
            <w:r w:rsidRPr="001E2D8F">
              <w:rPr>
                <w:rFonts w:ascii="Calibri" w:hAnsi="Calibri" w:cs="Calibri"/>
                <w:sz w:val="20"/>
              </w:rPr>
              <w:t>Investissement urgent</w:t>
            </w:r>
          </w:p>
        </w:tc>
        <w:tc>
          <w:tcPr>
            <w:tcW w:w="4147" w:type="dxa"/>
          </w:tcPr>
          <w:p w14:paraId="5BB1CC93" w14:textId="77777777" w:rsidR="001E2D8F" w:rsidRPr="001E2D8F" w:rsidRDefault="001E2D8F" w:rsidP="001E2D8F">
            <w:pPr>
              <w:jc w:val="left"/>
              <w:rPr>
                <w:rFonts w:ascii="Calibri" w:hAnsi="Calibri" w:cs="Calibri"/>
                <w:sz w:val="20"/>
              </w:rPr>
            </w:pPr>
            <w:r w:rsidRPr="001E2D8F">
              <w:rPr>
                <w:rFonts w:ascii="Calibri" w:hAnsi="Calibri" w:cs="Calibri"/>
                <w:sz w:val="20"/>
              </w:rPr>
              <w:t>Amortissements futurs et coûts éventuels</w:t>
            </w:r>
          </w:p>
        </w:tc>
        <w:tc>
          <w:tcPr>
            <w:tcW w:w="4176" w:type="dxa"/>
          </w:tcPr>
          <w:p w14:paraId="4F01F96B" w14:textId="77777777" w:rsidR="001E2D8F" w:rsidRPr="001E2D8F" w:rsidRDefault="001E2D8F" w:rsidP="001E2D8F">
            <w:pPr>
              <w:jc w:val="left"/>
              <w:rPr>
                <w:rFonts w:ascii="Calibri" w:hAnsi="Calibri" w:cs="Calibri"/>
                <w:sz w:val="20"/>
              </w:rPr>
            </w:pPr>
            <w:r w:rsidRPr="001E2D8F">
              <w:rPr>
                <w:rFonts w:ascii="Calibri" w:hAnsi="Calibri" w:cs="Calibri"/>
                <w:sz w:val="20"/>
              </w:rPr>
              <w:t>Décaissement immédiat ou emprunt</w:t>
            </w:r>
          </w:p>
        </w:tc>
      </w:tr>
      <w:tr w:rsidR="001E2D8F" w:rsidRPr="001E2D8F" w14:paraId="69F19B2C" w14:textId="77777777" w:rsidTr="001E2D8F">
        <w:tc>
          <w:tcPr>
            <w:tcW w:w="2045" w:type="dxa"/>
          </w:tcPr>
          <w:p w14:paraId="05961022" w14:textId="77777777" w:rsidR="001E2D8F" w:rsidRPr="001E2D8F" w:rsidRDefault="001E2D8F" w:rsidP="001E2D8F">
            <w:pPr>
              <w:jc w:val="left"/>
              <w:rPr>
                <w:rFonts w:ascii="Calibri" w:hAnsi="Calibri" w:cs="Calibri"/>
                <w:sz w:val="20"/>
              </w:rPr>
            </w:pPr>
            <w:r w:rsidRPr="001E2D8F">
              <w:rPr>
                <w:rFonts w:ascii="Calibri" w:hAnsi="Calibri" w:cs="Calibri"/>
                <w:sz w:val="20"/>
              </w:rPr>
              <w:t>Départ d’un salarié clé</w:t>
            </w:r>
          </w:p>
        </w:tc>
        <w:tc>
          <w:tcPr>
            <w:tcW w:w="4147" w:type="dxa"/>
          </w:tcPr>
          <w:p w14:paraId="68F5A378" w14:textId="77777777" w:rsidR="001E2D8F" w:rsidRPr="001E2D8F" w:rsidRDefault="001E2D8F" w:rsidP="001E2D8F">
            <w:pPr>
              <w:jc w:val="left"/>
              <w:rPr>
                <w:rFonts w:ascii="Calibri" w:hAnsi="Calibri" w:cs="Calibri"/>
                <w:sz w:val="20"/>
              </w:rPr>
            </w:pPr>
            <w:r w:rsidRPr="001E2D8F">
              <w:rPr>
                <w:rFonts w:ascii="Calibri" w:hAnsi="Calibri" w:cs="Calibri"/>
                <w:sz w:val="20"/>
              </w:rPr>
              <w:t>Recrutement et productivité réduite</w:t>
            </w:r>
          </w:p>
        </w:tc>
        <w:tc>
          <w:tcPr>
            <w:tcW w:w="4176" w:type="dxa"/>
          </w:tcPr>
          <w:p w14:paraId="328D187F" w14:textId="77777777" w:rsidR="001E2D8F" w:rsidRPr="001E2D8F" w:rsidRDefault="001E2D8F" w:rsidP="001E2D8F">
            <w:pPr>
              <w:jc w:val="left"/>
              <w:rPr>
                <w:rFonts w:ascii="Calibri" w:hAnsi="Calibri" w:cs="Calibri"/>
                <w:sz w:val="20"/>
              </w:rPr>
            </w:pPr>
            <w:r w:rsidRPr="001E2D8F">
              <w:rPr>
                <w:rFonts w:ascii="Calibri" w:hAnsi="Calibri" w:cs="Calibri"/>
                <w:sz w:val="20"/>
              </w:rPr>
              <w:t>Dépenses de transition</w:t>
            </w:r>
          </w:p>
        </w:tc>
      </w:tr>
    </w:tbl>
    <w:p w14:paraId="74DADB6C" w14:textId="77777777" w:rsidR="001E2D8F" w:rsidRDefault="001E2D8F" w:rsidP="001E2D8F">
      <w:pPr>
        <w:spacing w:after="0" w:line="240" w:lineRule="auto"/>
      </w:pPr>
    </w:p>
    <w:p w14:paraId="0B20A26B" w14:textId="77777777" w:rsidR="001E2D8F" w:rsidRDefault="001E2D8F" w:rsidP="001E2D8F">
      <w:pPr>
        <w:pStyle w:val="Titre2"/>
        <w:spacing w:before="0" w:after="0" w:line="240" w:lineRule="auto"/>
      </w:pPr>
      <w:r>
        <w:t>9.3- Distinguer diagnostic et audit</w:t>
      </w:r>
    </w:p>
    <w:p w14:paraId="7E0390CC" w14:textId="77777777" w:rsidR="001E2D8F" w:rsidRDefault="001E2D8F" w:rsidP="001E2D8F">
      <w:pPr>
        <w:spacing w:after="0" w:line="240" w:lineRule="auto"/>
      </w:pPr>
      <w:r>
        <w:t>Le diagnostic forme une appréciation sur l’entreprise et le projet. L’audit approfondit les vérifications, notamment comptables, financières, juridiques, fiscales et sociales [6]. Il examine les risques significatifs et la cohérence des informations qui fondent l’offre.</w:t>
      </w:r>
    </w:p>
    <w:p w14:paraId="69D6EF92" w14:textId="77777777" w:rsidR="001E2D8F" w:rsidRDefault="001E2D8F" w:rsidP="001E2D8F">
      <w:pPr>
        <w:spacing w:after="0" w:line="240" w:lineRule="auto"/>
      </w:pPr>
      <w:r>
        <w:t>Après l’audit, les parties peuvent, selon les accords conclus, corriger les hypothèses, ajuster le prix ou prévoir une protection spécifique. Les actes précisent les conditions de réalisation, le paiement et la transmission des pouvoirs. La signature d’un protocole et le transfert effectif peuvent intervenir à des dates distinctes.</w:t>
      </w:r>
    </w:p>
    <w:p w14:paraId="75B1B1D7" w14:textId="77777777" w:rsidR="001E2D8F" w:rsidRDefault="001E2D8F" w:rsidP="001E2D8F">
      <w:pPr>
        <w:pStyle w:val="Titre2"/>
        <w:spacing w:before="0" w:after="0" w:line="240" w:lineRule="auto"/>
      </w:pPr>
      <w:r>
        <w:t>9.4- Formuler une décision argumentée</w:t>
      </w:r>
    </w:p>
    <w:p w14:paraId="3D008456" w14:textId="5C9B15A3" w:rsidR="001E2D8F" w:rsidRDefault="001E2D8F" w:rsidP="001E2D8F">
      <w:pPr>
        <w:spacing w:after="0" w:line="240" w:lineRule="auto"/>
      </w:pPr>
      <w:r>
        <w:t>La recommandation relie le prix à la rentabilité normalisée, au financement et aux risques. Elle précise les conditions indispensables</w:t>
      </w:r>
      <w:r>
        <w:t> :</w:t>
      </w:r>
      <w:r>
        <w:t xml:space="preserve"> maintien d’un client, investissement, ligne de financement ou transition. Le prix maximal acceptable se détermine aussi par la capacité réelle à supporter les engagements.</w:t>
      </w:r>
    </w:p>
    <w:p w14:paraId="3DBDF72B" w14:textId="77777777" w:rsidR="001E2D8F" w:rsidRDefault="001E2D8F" w:rsidP="001E2D8F">
      <w:pPr>
        <w:spacing w:after="0" w:line="240" w:lineRule="auto"/>
      </w:pPr>
    </w:p>
    <w:p w14:paraId="57E19B33" w14:textId="5A63B259" w:rsidR="001E2D8F" w:rsidRDefault="001E2D8F" w:rsidP="001E2D8F">
      <w:pPr>
        <w:spacing w:after="0" w:line="240" w:lineRule="auto"/>
      </w:pPr>
    </w:p>
    <w:p w14:paraId="050BEA11" w14:textId="77777777" w:rsidR="001E2D8F" w:rsidRDefault="001E2D8F" w:rsidP="001E2D8F">
      <w:pPr>
        <w:pStyle w:val="Titre1"/>
        <w:spacing w:before="0" w:after="0" w:line="240" w:lineRule="auto"/>
      </w:pPr>
      <w:r>
        <w:t>10- Piloter l’entreprise après la reprise</w:t>
      </w:r>
    </w:p>
    <w:p w14:paraId="351F4F4A" w14:textId="77777777" w:rsidR="001E2D8F" w:rsidRDefault="001E2D8F" w:rsidP="001E2D8F">
      <w:pPr>
        <w:pStyle w:val="Titre2"/>
        <w:spacing w:before="0" w:after="0" w:line="240" w:lineRule="auto"/>
      </w:pPr>
      <w:r>
        <w:t>10.1- Préparer les premiers mois</w:t>
      </w:r>
    </w:p>
    <w:p w14:paraId="0D319DCE" w14:textId="77777777" w:rsidR="001E2D8F" w:rsidRDefault="001E2D8F" w:rsidP="001E2D8F">
      <w:pPr>
        <w:spacing w:after="0" w:line="240" w:lineRule="auto"/>
      </w:pPr>
      <w:r>
        <w:t>La prise en main vise la continuité de l’activité. Le repreneur échange avec les équipes, les clients importants, les fournisseurs et les banques. Il identifie les personnes qui détiennent des compétences essentielles et explique les priorités. Les responsabilités, les accès numériques et les pouvoirs de signature doivent être opérationnels.</w:t>
      </w:r>
    </w:p>
    <w:tbl>
      <w:tblPr>
        <w:tblStyle w:val="Grilledutableau"/>
        <w:tblW w:w="0" w:type="auto"/>
        <w:tblLayout w:type="fixed"/>
        <w:tblLook w:val="04A0" w:firstRow="1" w:lastRow="0" w:firstColumn="1" w:lastColumn="0" w:noHBand="0" w:noVBand="1"/>
      </w:tblPr>
      <w:tblGrid>
        <w:gridCol w:w="2045"/>
        <w:gridCol w:w="4147"/>
        <w:gridCol w:w="4176"/>
      </w:tblGrid>
      <w:tr w:rsidR="001E2D8F" w:rsidRPr="001E2D8F" w14:paraId="7EB7F194" w14:textId="77777777" w:rsidTr="001E2D8F">
        <w:trPr>
          <w:tblHeader/>
        </w:trPr>
        <w:tc>
          <w:tcPr>
            <w:tcW w:w="2045" w:type="dxa"/>
          </w:tcPr>
          <w:p w14:paraId="437FAC19" w14:textId="77777777" w:rsidR="001E2D8F" w:rsidRPr="001E2D8F" w:rsidRDefault="001E2D8F" w:rsidP="001E2D8F">
            <w:pPr>
              <w:jc w:val="left"/>
              <w:rPr>
                <w:rFonts w:ascii="Calibri" w:hAnsi="Calibri" w:cs="Calibri"/>
                <w:sz w:val="20"/>
              </w:rPr>
            </w:pPr>
            <w:r w:rsidRPr="001E2D8F">
              <w:rPr>
                <w:rFonts w:ascii="Calibri" w:hAnsi="Calibri" w:cs="Calibri"/>
                <w:b/>
                <w:sz w:val="20"/>
              </w:rPr>
              <w:t>Période indicative</w:t>
            </w:r>
          </w:p>
        </w:tc>
        <w:tc>
          <w:tcPr>
            <w:tcW w:w="4147" w:type="dxa"/>
          </w:tcPr>
          <w:p w14:paraId="13FA00C5" w14:textId="77777777" w:rsidR="001E2D8F" w:rsidRPr="001E2D8F" w:rsidRDefault="001E2D8F" w:rsidP="001E2D8F">
            <w:pPr>
              <w:jc w:val="left"/>
              <w:rPr>
                <w:rFonts w:ascii="Calibri" w:hAnsi="Calibri" w:cs="Calibri"/>
                <w:sz w:val="20"/>
              </w:rPr>
            </w:pPr>
            <w:r w:rsidRPr="001E2D8F">
              <w:rPr>
                <w:rFonts w:ascii="Calibri" w:hAnsi="Calibri" w:cs="Calibri"/>
                <w:b/>
                <w:sz w:val="20"/>
              </w:rPr>
              <w:t>Priorités</w:t>
            </w:r>
          </w:p>
        </w:tc>
        <w:tc>
          <w:tcPr>
            <w:tcW w:w="4176" w:type="dxa"/>
          </w:tcPr>
          <w:p w14:paraId="78FC3631" w14:textId="77777777" w:rsidR="001E2D8F" w:rsidRPr="001E2D8F" w:rsidRDefault="001E2D8F" w:rsidP="001E2D8F">
            <w:pPr>
              <w:jc w:val="left"/>
              <w:rPr>
                <w:rFonts w:ascii="Calibri" w:hAnsi="Calibri" w:cs="Calibri"/>
                <w:sz w:val="20"/>
              </w:rPr>
            </w:pPr>
            <w:r w:rsidRPr="001E2D8F">
              <w:rPr>
                <w:rFonts w:ascii="Calibri" w:hAnsi="Calibri" w:cs="Calibri"/>
                <w:b/>
                <w:sz w:val="20"/>
              </w:rPr>
              <w:t>Productions de gestion</w:t>
            </w:r>
          </w:p>
        </w:tc>
      </w:tr>
      <w:tr w:rsidR="001E2D8F" w:rsidRPr="001E2D8F" w14:paraId="58563381" w14:textId="77777777" w:rsidTr="001E2D8F">
        <w:tc>
          <w:tcPr>
            <w:tcW w:w="2045" w:type="dxa"/>
          </w:tcPr>
          <w:p w14:paraId="71BBBDAA" w14:textId="77777777" w:rsidR="001E2D8F" w:rsidRPr="001E2D8F" w:rsidRDefault="001E2D8F" w:rsidP="001E2D8F">
            <w:pPr>
              <w:jc w:val="left"/>
              <w:rPr>
                <w:rFonts w:ascii="Calibri" w:hAnsi="Calibri" w:cs="Calibri"/>
                <w:sz w:val="20"/>
              </w:rPr>
            </w:pPr>
            <w:r w:rsidRPr="001E2D8F">
              <w:rPr>
                <w:rFonts w:ascii="Calibri" w:hAnsi="Calibri" w:cs="Calibri"/>
                <w:sz w:val="20"/>
              </w:rPr>
              <w:t>Jours 1 à 30</w:t>
            </w:r>
          </w:p>
        </w:tc>
        <w:tc>
          <w:tcPr>
            <w:tcW w:w="4147" w:type="dxa"/>
          </w:tcPr>
          <w:p w14:paraId="4A68092F" w14:textId="77777777" w:rsidR="001E2D8F" w:rsidRPr="001E2D8F" w:rsidRDefault="001E2D8F" w:rsidP="001E2D8F">
            <w:pPr>
              <w:jc w:val="left"/>
              <w:rPr>
                <w:rFonts w:ascii="Calibri" w:hAnsi="Calibri" w:cs="Calibri"/>
                <w:sz w:val="20"/>
              </w:rPr>
            </w:pPr>
            <w:r w:rsidRPr="001E2D8F">
              <w:rPr>
                <w:rFonts w:ascii="Calibri" w:hAnsi="Calibri" w:cs="Calibri"/>
                <w:sz w:val="20"/>
              </w:rPr>
              <w:t>Sécuriser paiements, commandes, salariés clés et données</w:t>
            </w:r>
          </w:p>
        </w:tc>
        <w:tc>
          <w:tcPr>
            <w:tcW w:w="4176" w:type="dxa"/>
          </w:tcPr>
          <w:p w14:paraId="1435359B" w14:textId="77777777" w:rsidR="001E2D8F" w:rsidRPr="001E2D8F" w:rsidRDefault="001E2D8F" w:rsidP="001E2D8F">
            <w:pPr>
              <w:jc w:val="left"/>
              <w:rPr>
                <w:rFonts w:ascii="Calibri" w:hAnsi="Calibri" w:cs="Calibri"/>
                <w:sz w:val="20"/>
              </w:rPr>
            </w:pPr>
            <w:r w:rsidRPr="001E2D8F">
              <w:rPr>
                <w:rFonts w:ascii="Calibri" w:hAnsi="Calibri" w:cs="Calibri"/>
                <w:sz w:val="20"/>
              </w:rPr>
              <w:t>Prévision de trésorerie, délégations, état des risques</w:t>
            </w:r>
          </w:p>
        </w:tc>
      </w:tr>
      <w:tr w:rsidR="001E2D8F" w:rsidRPr="001E2D8F" w14:paraId="22B8600B" w14:textId="77777777" w:rsidTr="001E2D8F">
        <w:tc>
          <w:tcPr>
            <w:tcW w:w="2045" w:type="dxa"/>
          </w:tcPr>
          <w:p w14:paraId="7E02BE8A" w14:textId="77777777" w:rsidR="001E2D8F" w:rsidRPr="001E2D8F" w:rsidRDefault="001E2D8F" w:rsidP="001E2D8F">
            <w:pPr>
              <w:jc w:val="left"/>
              <w:rPr>
                <w:rFonts w:ascii="Calibri" w:hAnsi="Calibri" w:cs="Calibri"/>
                <w:sz w:val="20"/>
              </w:rPr>
            </w:pPr>
            <w:r w:rsidRPr="001E2D8F">
              <w:rPr>
                <w:rFonts w:ascii="Calibri" w:hAnsi="Calibri" w:cs="Calibri"/>
                <w:sz w:val="20"/>
              </w:rPr>
              <w:lastRenderedPageBreak/>
              <w:t>Jours 31 à 60</w:t>
            </w:r>
          </w:p>
        </w:tc>
        <w:tc>
          <w:tcPr>
            <w:tcW w:w="4147" w:type="dxa"/>
          </w:tcPr>
          <w:p w14:paraId="4A54BCCD" w14:textId="77777777" w:rsidR="001E2D8F" w:rsidRPr="001E2D8F" w:rsidRDefault="001E2D8F" w:rsidP="001E2D8F">
            <w:pPr>
              <w:jc w:val="left"/>
              <w:rPr>
                <w:rFonts w:ascii="Calibri" w:hAnsi="Calibri" w:cs="Calibri"/>
                <w:sz w:val="20"/>
              </w:rPr>
            </w:pPr>
            <w:r w:rsidRPr="001E2D8F">
              <w:rPr>
                <w:rFonts w:ascii="Calibri" w:hAnsi="Calibri" w:cs="Calibri"/>
                <w:sz w:val="20"/>
              </w:rPr>
              <w:t>Valider coûts, marges et capacité de production</w:t>
            </w:r>
          </w:p>
        </w:tc>
        <w:tc>
          <w:tcPr>
            <w:tcW w:w="4176" w:type="dxa"/>
          </w:tcPr>
          <w:p w14:paraId="2FDBEA4D" w14:textId="77777777" w:rsidR="001E2D8F" w:rsidRPr="001E2D8F" w:rsidRDefault="001E2D8F" w:rsidP="001E2D8F">
            <w:pPr>
              <w:jc w:val="left"/>
              <w:rPr>
                <w:rFonts w:ascii="Calibri" w:hAnsi="Calibri" w:cs="Calibri"/>
                <w:sz w:val="20"/>
              </w:rPr>
            </w:pPr>
            <w:r w:rsidRPr="001E2D8F">
              <w:rPr>
                <w:rFonts w:ascii="Calibri" w:hAnsi="Calibri" w:cs="Calibri"/>
                <w:sz w:val="20"/>
              </w:rPr>
              <w:t>Budgets révisés, analyse des écarts</w:t>
            </w:r>
          </w:p>
        </w:tc>
      </w:tr>
      <w:tr w:rsidR="001E2D8F" w:rsidRPr="001E2D8F" w14:paraId="4D755619" w14:textId="77777777" w:rsidTr="001E2D8F">
        <w:tc>
          <w:tcPr>
            <w:tcW w:w="2045" w:type="dxa"/>
          </w:tcPr>
          <w:p w14:paraId="16495832" w14:textId="77777777" w:rsidR="001E2D8F" w:rsidRPr="001E2D8F" w:rsidRDefault="001E2D8F" w:rsidP="001E2D8F">
            <w:pPr>
              <w:jc w:val="left"/>
              <w:rPr>
                <w:rFonts w:ascii="Calibri" w:hAnsi="Calibri" w:cs="Calibri"/>
                <w:sz w:val="20"/>
              </w:rPr>
            </w:pPr>
            <w:r w:rsidRPr="001E2D8F">
              <w:rPr>
                <w:rFonts w:ascii="Calibri" w:hAnsi="Calibri" w:cs="Calibri"/>
                <w:sz w:val="20"/>
              </w:rPr>
              <w:t>Jours 61 à 100</w:t>
            </w:r>
          </w:p>
        </w:tc>
        <w:tc>
          <w:tcPr>
            <w:tcW w:w="4147" w:type="dxa"/>
          </w:tcPr>
          <w:p w14:paraId="16C9339C" w14:textId="77777777" w:rsidR="001E2D8F" w:rsidRPr="001E2D8F" w:rsidRDefault="001E2D8F" w:rsidP="001E2D8F">
            <w:pPr>
              <w:jc w:val="left"/>
              <w:rPr>
                <w:rFonts w:ascii="Calibri" w:hAnsi="Calibri" w:cs="Calibri"/>
                <w:sz w:val="20"/>
              </w:rPr>
            </w:pPr>
            <w:r w:rsidRPr="001E2D8F">
              <w:rPr>
                <w:rFonts w:ascii="Calibri" w:hAnsi="Calibri" w:cs="Calibri"/>
                <w:sz w:val="20"/>
              </w:rPr>
              <w:t>Engager les améliorations prioritaires</w:t>
            </w:r>
          </w:p>
        </w:tc>
        <w:tc>
          <w:tcPr>
            <w:tcW w:w="4176" w:type="dxa"/>
          </w:tcPr>
          <w:p w14:paraId="3FCD990D" w14:textId="77777777" w:rsidR="001E2D8F" w:rsidRPr="001E2D8F" w:rsidRDefault="001E2D8F" w:rsidP="001E2D8F">
            <w:pPr>
              <w:jc w:val="left"/>
              <w:rPr>
                <w:rFonts w:ascii="Calibri" w:hAnsi="Calibri" w:cs="Calibri"/>
                <w:sz w:val="20"/>
              </w:rPr>
            </w:pPr>
            <w:r w:rsidRPr="001E2D8F">
              <w:rPr>
                <w:rFonts w:ascii="Calibri" w:hAnsi="Calibri" w:cs="Calibri"/>
                <w:sz w:val="20"/>
              </w:rPr>
              <w:t>Plan d’action chiffré et tableau de bord</w:t>
            </w:r>
          </w:p>
        </w:tc>
      </w:tr>
    </w:tbl>
    <w:p w14:paraId="2974D6C6" w14:textId="77777777" w:rsidR="001E2D8F" w:rsidRDefault="001E2D8F" w:rsidP="001E2D8F">
      <w:pPr>
        <w:spacing w:after="0" w:line="240" w:lineRule="auto"/>
      </w:pPr>
    </w:p>
    <w:p w14:paraId="02602DAB" w14:textId="77777777" w:rsidR="001E2D8F" w:rsidRDefault="001E2D8F" w:rsidP="001E2D8F">
      <w:pPr>
        <w:pStyle w:val="Titre2"/>
        <w:spacing w:before="0" w:after="0" w:line="240" w:lineRule="auto"/>
      </w:pPr>
      <w:r>
        <w:t>10.2- Choisir un tableau de bord utile</w:t>
      </w:r>
    </w:p>
    <w:tbl>
      <w:tblPr>
        <w:tblStyle w:val="Grilledutableau"/>
        <w:tblW w:w="0" w:type="auto"/>
        <w:tblLayout w:type="fixed"/>
        <w:tblLook w:val="04A0" w:firstRow="1" w:lastRow="0" w:firstColumn="1" w:lastColumn="0" w:noHBand="0" w:noVBand="1"/>
      </w:tblPr>
      <w:tblGrid>
        <w:gridCol w:w="2045"/>
        <w:gridCol w:w="4147"/>
        <w:gridCol w:w="4176"/>
      </w:tblGrid>
      <w:tr w:rsidR="001E2D8F" w:rsidRPr="001E2D8F" w14:paraId="7F6A2FF8" w14:textId="77777777" w:rsidTr="001E2D8F">
        <w:trPr>
          <w:tblHeader/>
        </w:trPr>
        <w:tc>
          <w:tcPr>
            <w:tcW w:w="2045" w:type="dxa"/>
          </w:tcPr>
          <w:p w14:paraId="3EC4B464" w14:textId="77777777" w:rsidR="001E2D8F" w:rsidRPr="001E2D8F" w:rsidRDefault="001E2D8F" w:rsidP="001E2D8F">
            <w:pPr>
              <w:jc w:val="left"/>
              <w:rPr>
                <w:rFonts w:ascii="Calibri" w:hAnsi="Calibri" w:cs="Calibri"/>
                <w:sz w:val="20"/>
              </w:rPr>
            </w:pPr>
            <w:r w:rsidRPr="001E2D8F">
              <w:rPr>
                <w:rFonts w:ascii="Calibri" w:hAnsi="Calibri" w:cs="Calibri"/>
                <w:b/>
                <w:sz w:val="20"/>
              </w:rPr>
              <w:t>Objectif</w:t>
            </w:r>
          </w:p>
        </w:tc>
        <w:tc>
          <w:tcPr>
            <w:tcW w:w="4147" w:type="dxa"/>
          </w:tcPr>
          <w:p w14:paraId="1B492DCF" w14:textId="77777777" w:rsidR="001E2D8F" w:rsidRPr="001E2D8F" w:rsidRDefault="001E2D8F" w:rsidP="001E2D8F">
            <w:pPr>
              <w:jc w:val="left"/>
              <w:rPr>
                <w:rFonts w:ascii="Calibri" w:hAnsi="Calibri" w:cs="Calibri"/>
                <w:sz w:val="20"/>
              </w:rPr>
            </w:pPr>
            <w:r w:rsidRPr="001E2D8F">
              <w:rPr>
                <w:rFonts w:ascii="Calibri" w:hAnsi="Calibri" w:cs="Calibri"/>
                <w:b/>
                <w:sz w:val="20"/>
              </w:rPr>
              <w:t>Indicateur</w:t>
            </w:r>
          </w:p>
        </w:tc>
        <w:tc>
          <w:tcPr>
            <w:tcW w:w="4176" w:type="dxa"/>
          </w:tcPr>
          <w:p w14:paraId="616F21A2" w14:textId="77777777" w:rsidR="001E2D8F" w:rsidRPr="001E2D8F" w:rsidRDefault="001E2D8F" w:rsidP="001E2D8F">
            <w:pPr>
              <w:jc w:val="left"/>
              <w:rPr>
                <w:rFonts w:ascii="Calibri" w:hAnsi="Calibri" w:cs="Calibri"/>
                <w:sz w:val="20"/>
              </w:rPr>
            </w:pPr>
            <w:r w:rsidRPr="001E2D8F">
              <w:rPr>
                <w:rFonts w:ascii="Calibri" w:hAnsi="Calibri" w:cs="Calibri"/>
                <w:b/>
                <w:sz w:val="20"/>
              </w:rPr>
              <w:t>Fréquence et action possible</w:t>
            </w:r>
          </w:p>
        </w:tc>
      </w:tr>
      <w:tr w:rsidR="001E2D8F" w:rsidRPr="001E2D8F" w14:paraId="2C62DD2B" w14:textId="77777777" w:rsidTr="001E2D8F">
        <w:tc>
          <w:tcPr>
            <w:tcW w:w="2045" w:type="dxa"/>
          </w:tcPr>
          <w:p w14:paraId="27BF416B" w14:textId="77777777" w:rsidR="001E2D8F" w:rsidRPr="001E2D8F" w:rsidRDefault="001E2D8F" w:rsidP="001E2D8F">
            <w:pPr>
              <w:jc w:val="left"/>
              <w:rPr>
                <w:rFonts w:ascii="Calibri" w:hAnsi="Calibri" w:cs="Calibri"/>
                <w:sz w:val="20"/>
              </w:rPr>
            </w:pPr>
            <w:r w:rsidRPr="001E2D8F">
              <w:rPr>
                <w:rFonts w:ascii="Calibri" w:hAnsi="Calibri" w:cs="Calibri"/>
                <w:sz w:val="20"/>
              </w:rPr>
              <w:t>Préserver les ventes</w:t>
            </w:r>
          </w:p>
        </w:tc>
        <w:tc>
          <w:tcPr>
            <w:tcW w:w="4147" w:type="dxa"/>
          </w:tcPr>
          <w:p w14:paraId="6F3D7751" w14:textId="77777777" w:rsidR="001E2D8F" w:rsidRPr="001E2D8F" w:rsidRDefault="001E2D8F" w:rsidP="001E2D8F">
            <w:pPr>
              <w:jc w:val="left"/>
              <w:rPr>
                <w:rFonts w:ascii="Calibri" w:hAnsi="Calibri" w:cs="Calibri"/>
                <w:sz w:val="20"/>
              </w:rPr>
            </w:pPr>
            <w:r w:rsidRPr="001E2D8F">
              <w:rPr>
                <w:rFonts w:ascii="Calibri" w:hAnsi="Calibri" w:cs="Calibri"/>
                <w:sz w:val="20"/>
              </w:rPr>
              <w:t>Commandes et ventes par client</w:t>
            </w:r>
          </w:p>
        </w:tc>
        <w:tc>
          <w:tcPr>
            <w:tcW w:w="4176" w:type="dxa"/>
          </w:tcPr>
          <w:p w14:paraId="24174947" w14:textId="62A9CD40" w:rsidR="001E2D8F" w:rsidRPr="001E2D8F" w:rsidRDefault="001E2D8F" w:rsidP="001E2D8F">
            <w:pPr>
              <w:jc w:val="left"/>
              <w:rPr>
                <w:rFonts w:ascii="Calibri" w:hAnsi="Calibri" w:cs="Calibri"/>
                <w:sz w:val="20"/>
              </w:rPr>
            </w:pPr>
            <w:r w:rsidRPr="001E2D8F">
              <w:rPr>
                <w:rFonts w:ascii="Calibri" w:hAnsi="Calibri" w:cs="Calibri"/>
                <w:sz w:val="20"/>
              </w:rPr>
              <w:t>Mensuelle</w:t>
            </w:r>
            <w:r w:rsidRPr="001E2D8F">
              <w:rPr>
                <w:rFonts w:ascii="Calibri" w:hAnsi="Calibri" w:cs="Calibri"/>
                <w:sz w:val="20"/>
              </w:rPr>
              <w:t> :</w:t>
            </w:r>
            <w:r w:rsidRPr="001E2D8F">
              <w:rPr>
                <w:rFonts w:ascii="Calibri" w:hAnsi="Calibri" w:cs="Calibri"/>
                <w:sz w:val="20"/>
              </w:rPr>
              <w:t xml:space="preserve"> fidélisation ciblée</w:t>
            </w:r>
          </w:p>
        </w:tc>
      </w:tr>
      <w:tr w:rsidR="001E2D8F" w:rsidRPr="001E2D8F" w14:paraId="1653FE76" w14:textId="77777777" w:rsidTr="001E2D8F">
        <w:tc>
          <w:tcPr>
            <w:tcW w:w="2045" w:type="dxa"/>
          </w:tcPr>
          <w:p w14:paraId="67CB932F" w14:textId="77777777" w:rsidR="001E2D8F" w:rsidRPr="001E2D8F" w:rsidRDefault="001E2D8F" w:rsidP="001E2D8F">
            <w:pPr>
              <w:jc w:val="left"/>
              <w:rPr>
                <w:rFonts w:ascii="Calibri" w:hAnsi="Calibri" w:cs="Calibri"/>
                <w:sz w:val="20"/>
              </w:rPr>
            </w:pPr>
            <w:r w:rsidRPr="001E2D8F">
              <w:rPr>
                <w:rFonts w:ascii="Calibri" w:hAnsi="Calibri" w:cs="Calibri"/>
                <w:sz w:val="20"/>
              </w:rPr>
              <w:t>Protéger les marges</w:t>
            </w:r>
          </w:p>
        </w:tc>
        <w:tc>
          <w:tcPr>
            <w:tcW w:w="4147" w:type="dxa"/>
          </w:tcPr>
          <w:p w14:paraId="07DA66BE" w14:textId="77777777" w:rsidR="001E2D8F" w:rsidRPr="001E2D8F" w:rsidRDefault="001E2D8F" w:rsidP="001E2D8F">
            <w:pPr>
              <w:jc w:val="left"/>
              <w:rPr>
                <w:rFonts w:ascii="Calibri" w:hAnsi="Calibri" w:cs="Calibri"/>
                <w:sz w:val="20"/>
              </w:rPr>
            </w:pPr>
            <w:r w:rsidRPr="001E2D8F">
              <w:rPr>
                <w:rFonts w:ascii="Calibri" w:hAnsi="Calibri" w:cs="Calibri"/>
                <w:sz w:val="20"/>
              </w:rPr>
              <w:t>Marge par produit ou affaire</w:t>
            </w:r>
          </w:p>
        </w:tc>
        <w:tc>
          <w:tcPr>
            <w:tcW w:w="4176" w:type="dxa"/>
          </w:tcPr>
          <w:p w14:paraId="60A43361" w14:textId="12768EAE" w:rsidR="001E2D8F" w:rsidRPr="001E2D8F" w:rsidRDefault="001E2D8F" w:rsidP="001E2D8F">
            <w:pPr>
              <w:jc w:val="left"/>
              <w:rPr>
                <w:rFonts w:ascii="Calibri" w:hAnsi="Calibri" w:cs="Calibri"/>
                <w:sz w:val="20"/>
              </w:rPr>
            </w:pPr>
            <w:r w:rsidRPr="001E2D8F">
              <w:rPr>
                <w:rFonts w:ascii="Calibri" w:hAnsi="Calibri" w:cs="Calibri"/>
                <w:sz w:val="20"/>
              </w:rPr>
              <w:t>Mensuelle</w:t>
            </w:r>
            <w:r w:rsidRPr="001E2D8F">
              <w:rPr>
                <w:rFonts w:ascii="Calibri" w:hAnsi="Calibri" w:cs="Calibri"/>
                <w:sz w:val="20"/>
              </w:rPr>
              <w:t> :</w:t>
            </w:r>
            <w:r w:rsidRPr="001E2D8F">
              <w:rPr>
                <w:rFonts w:ascii="Calibri" w:hAnsi="Calibri" w:cs="Calibri"/>
                <w:sz w:val="20"/>
              </w:rPr>
              <w:t xml:space="preserve"> prix ou achats</w:t>
            </w:r>
          </w:p>
        </w:tc>
      </w:tr>
      <w:tr w:rsidR="001E2D8F" w:rsidRPr="001E2D8F" w14:paraId="55694964" w14:textId="77777777" w:rsidTr="001E2D8F">
        <w:tc>
          <w:tcPr>
            <w:tcW w:w="2045" w:type="dxa"/>
          </w:tcPr>
          <w:p w14:paraId="2F55AFC3" w14:textId="77777777" w:rsidR="001E2D8F" w:rsidRPr="001E2D8F" w:rsidRDefault="001E2D8F" w:rsidP="001E2D8F">
            <w:pPr>
              <w:jc w:val="left"/>
              <w:rPr>
                <w:rFonts w:ascii="Calibri" w:hAnsi="Calibri" w:cs="Calibri"/>
                <w:sz w:val="20"/>
              </w:rPr>
            </w:pPr>
            <w:r w:rsidRPr="001E2D8F">
              <w:rPr>
                <w:rFonts w:ascii="Calibri" w:hAnsi="Calibri" w:cs="Calibri"/>
                <w:sz w:val="20"/>
              </w:rPr>
              <w:t>Réduire les pertes</w:t>
            </w:r>
          </w:p>
        </w:tc>
        <w:tc>
          <w:tcPr>
            <w:tcW w:w="4147" w:type="dxa"/>
          </w:tcPr>
          <w:p w14:paraId="05449CD7" w14:textId="77777777" w:rsidR="001E2D8F" w:rsidRPr="001E2D8F" w:rsidRDefault="001E2D8F" w:rsidP="001E2D8F">
            <w:pPr>
              <w:jc w:val="left"/>
              <w:rPr>
                <w:rFonts w:ascii="Calibri" w:hAnsi="Calibri" w:cs="Calibri"/>
                <w:sz w:val="20"/>
              </w:rPr>
            </w:pPr>
            <w:r w:rsidRPr="001E2D8F">
              <w:rPr>
                <w:rFonts w:ascii="Calibri" w:hAnsi="Calibri" w:cs="Calibri"/>
                <w:sz w:val="20"/>
              </w:rPr>
              <w:t>Taux de rebut ou de retouche</w:t>
            </w:r>
          </w:p>
        </w:tc>
        <w:tc>
          <w:tcPr>
            <w:tcW w:w="4176" w:type="dxa"/>
          </w:tcPr>
          <w:p w14:paraId="3441A525" w14:textId="319DDCD6" w:rsidR="001E2D8F" w:rsidRPr="001E2D8F" w:rsidRDefault="001E2D8F" w:rsidP="001E2D8F">
            <w:pPr>
              <w:jc w:val="left"/>
              <w:rPr>
                <w:rFonts w:ascii="Calibri" w:hAnsi="Calibri" w:cs="Calibri"/>
                <w:sz w:val="20"/>
              </w:rPr>
            </w:pPr>
            <w:r w:rsidRPr="001E2D8F">
              <w:rPr>
                <w:rFonts w:ascii="Calibri" w:hAnsi="Calibri" w:cs="Calibri"/>
                <w:sz w:val="20"/>
              </w:rPr>
              <w:t>Hebdomadaire</w:t>
            </w:r>
            <w:r w:rsidRPr="001E2D8F">
              <w:rPr>
                <w:rFonts w:ascii="Calibri" w:hAnsi="Calibri" w:cs="Calibri"/>
                <w:sz w:val="20"/>
              </w:rPr>
              <w:t> :</w:t>
            </w:r>
            <w:r w:rsidRPr="001E2D8F">
              <w:rPr>
                <w:rFonts w:ascii="Calibri" w:hAnsi="Calibri" w:cs="Calibri"/>
                <w:sz w:val="20"/>
              </w:rPr>
              <w:t xml:space="preserve"> analyse des causes</w:t>
            </w:r>
          </w:p>
        </w:tc>
      </w:tr>
      <w:tr w:rsidR="001E2D8F" w:rsidRPr="001E2D8F" w14:paraId="75FA0402" w14:textId="77777777" w:rsidTr="001E2D8F">
        <w:tc>
          <w:tcPr>
            <w:tcW w:w="2045" w:type="dxa"/>
          </w:tcPr>
          <w:p w14:paraId="43317013" w14:textId="77777777" w:rsidR="001E2D8F" w:rsidRPr="001E2D8F" w:rsidRDefault="001E2D8F" w:rsidP="001E2D8F">
            <w:pPr>
              <w:jc w:val="left"/>
              <w:rPr>
                <w:rFonts w:ascii="Calibri" w:hAnsi="Calibri" w:cs="Calibri"/>
                <w:sz w:val="20"/>
              </w:rPr>
            </w:pPr>
            <w:r w:rsidRPr="001E2D8F">
              <w:rPr>
                <w:rFonts w:ascii="Calibri" w:hAnsi="Calibri" w:cs="Calibri"/>
                <w:sz w:val="20"/>
              </w:rPr>
              <w:t>Tenir les délais</w:t>
            </w:r>
          </w:p>
        </w:tc>
        <w:tc>
          <w:tcPr>
            <w:tcW w:w="4147" w:type="dxa"/>
          </w:tcPr>
          <w:p w14:paraId="5AA54E36" w14:textId="77777777" w:rsidR="001E2D8F" w:rsidRPr="001E2D8F" w:rsidRDefault="001E2D8F" w:rsidP="001E2D8F">
            <w:pPr>
              <w:jc w:val="left"/>
              <w:rPr>
                <w:rFonts w:ascii="Calibri" w:hAnsi="Calibri" w:cs="Calibri"/>
                <w:sz w:val="20"/>
              </w:rPr>
            </w:pPr>
            <w:r w:rsidRPr="001E2D8F">
              <w:rPr>
                <w:rFonts w:ascii="Calibri" w:hAnsi="Calibri" w:cs="Calibri"/>
                <w:sz w:val="20"/>
              </w:rPr>
              <w:t>Livraisons à la date promise / livraisons</w:t>
            </w:r>
          </w:p>
        </w:tc>
        <w:tc>
          <w:tcPr>
            <w:tcW w:w="4176" w:type="dxa"/>
          </w:tcPr>
          <w:p w14:paraId="12B64822" w14:textId="45EE6C41" w:rsidR="001E2D8F" w:rsidRPr="001E2D8F" w:rsidRDefault="001E2D8F" w:rsidP="001E2D8F">
            <w:pPr>
              <w:jc w:val="left"/>
              <w:rPr>
                <w:rFonts w:ascii="Calibri" w:hAnsi="Calibri" w:cs="Calibri"/>
                <w:sz w:val="20"/>
              </w:rPr>
            </w:pPr>
            <w:r w:rsidRPr="001E2D8F">
              <w:rPr>
                <w:rFonts w:ascii="Calibri" w:hAnsi="Calibri" w:cs="Calibri"/>
                <w:sz w:val="20"/>
              </w:rPr>
              <w:t>Hebdomadaire</w:t>
            </w:r>
            <w:r w:rsidRPr="001E2D8F">
              <w:rPr>
                <w:rFonts w:ascii="Calibri" w:hAnsi="Calibri" w:cs="Calibri"/>
                <w:sz w:val="20"/>
              </w:rPr>
              <w:t> :</w:t>
            </w:r>
            <w:r w:rsidRPr="001E2D8F">
              <w:rPr>
                <w:rFonts w:ascii="Calibri" w:hAnsi="Calibri" w:cs="Calibri"/>
                <w:sz w:val="20"/>
              </w:rPr>
              <w:t xml:space="preserve"> capacité et planning</w:t>
            </w:r>
          </w:p>
        </w:tc>
      </w:tr>
      <w:tr w:rsidR="001E2D8F" w:rsidRPr="001E2D8F" w14:paraId="3B413643" w14:textId="77777777" w:rsidTr="001E2D8F">
        <w:tc>
          <w:tcPr>
            <w:tcW w:w="2045" w:type="dxa"/>
          </w:tcPr>
          <w:p w14:paraId="1378C1C2" w14:textId="77777777" w:rsidR="001E2D8F" w:rsidRPr="001E2D8F" w:rsidRDefault="001E2D8F" w:rsidP="001E2D8F">
            <w:pPr>
              <w:jc w:val="left"/>
              <w:rPr>
                <w:rFonts w:ascii="Calibri" w:hAnsi="Calibri" w:cs="Calibri"/>
                <w:sz w:val="20"/>
              </w:rPr>
            </w:pPr>
            <w:r w:rsidRPr="001E2D8F">
              <w:rPr>
                <w:rFonts w:ascii="Calibri" w:hAnsi="Calibri" w:cs="Calibri"/>
                <w:sz w:val="20"/>
              </w:rPr>
              <w:t>Accélérer les encaissements</w:t>
            </w:r>
          </w:p>
        </w:tc>
        <w:tc>
          <w:tcPr>
            <w:tcW w:w="4147" w:type="dxa"/>
          </w:tcPr>
          <w:p w14:paraId="1AADDADD" w14:textId="77777777" w:rsidR="001E2D8F" w:rsidRPr="001E2D8F" w:rsidRDefault="001E2D8F" w:rsidP="001E2D8F">
            <w:pPr>
              <w:jc w:val="left"/>
              <w:rPr>
                <w:rFonts w:ascii="Calibri" w:hAnsi="Calibri" w:cs="Calibri"/>
                <w:sz w:val="20"/>
              </w:rPr>
            </w:pPr>
            <w:r w:rsidRPr="001E2D8F">
              <w:rPr>
                <w:rFonts w:ascii="Calibri" w:hAnsi="Calibri" w:cs="Calibri"/>
                <w:sz w:val="20"/>
              </w:rPr>
              <w:t>Créances échues et délai client</w:t>
            </w:r>
          </w:p>
        </w:tc>
        <w:tc>
          <w:tcPr>
            <w:tcW w:w="4176" w:type="dxa"/>
          </w:tcPr>
          <w:p w14:paraId="1AB20A48" w14:textId="4F249561" w:rsidR="001E2D8F" w:rsidRPr="001E2D8F" w:rsidRDefault="001E2D8F" w:rsidP="001E2D8F">
            <w:pPr>
              <w:jc w:val="left"/>
              <w:rPr>
                <w:rFonts w:ascii="Calibri" w:hAnsi="Calibri" w:cs="Calibri"/>
                <w:sz w:val="20"/>
              </w:rPr>
            </w:pPr>
            <w:r w:rsidRPr="001E2D8F">
              <w:rPr>
                <w:rFonts w:ascii="Calibri" w:hAnsi="Calibri" w:cs="Calibri"/>
                <w:sz w:val="20"/>
              </w:rPr>
              <w:t>Hebdomadaire</w:t>
            </w:r>
            <w:r w:rsidRPr="001E2D8F">
              <w:rPr>
                <w:rFonts w:ascii="Calibri" w:hAnsi="Calibri" w:cs="Calibri"/>
                <w:sz w:val="20"/>
              </w:rPr>
              <w:t> :</w:t>
            </w:r>
            <w:r w:rsidRPr="001E2D8F">
              <w:rPr>
                <w:rFonts w:ascii="Calibri" w:hAnsi="Calibri" w:cs="Calibri"/>
                <w:sz w:val="20"/>
              </w:rPr>
              <w:t xml:space="preserve"> relance et litiges</w:t>
            </w:r>
          </w:p>
        </w:tc>
      </w:tr>
      <w:tr w:rsidR="001E2D8F" w:rsidRPr="001E2D8F" w14:paraId="7B376164" w14:textId="77777777" w:rsidTr="001E2D8F">
        <w:tc>
          <w:tcPr>
            <w:tcW w:w="2045" w:type="dxa"/>
          </w:tcPr>
          <w:p w14:paraId="4FCB7477" w14:textId="77777777" w:rsidR="001E2D8F" w:rsidRPr="001E2D8F" w:rsidRDefault="001E2D8F" w:rsidP="001E2D8F">
            <w:pPr>
              <w:jc w:val="left"/>
              <w:rPr>
                <w:rFonts w:ascii="Calibri" w:hAnsi="Calibri" w:cs="Calibri"/>
                <w:sz w:val="20"/>
              </w:rPr>
            </w:pPr>
            <w:r w:rsidRPr="001E2D8F">
              <w:rPr>
                <w:rFonts w:ascii="Calibri" w:hAnsi="Calibri" w:cs="Calibri"/>
                <w:sz w:val="20"/>
              </w:rPr>
              <w:t>Maîtriser les stocks</w:t>
            </w:r>
          </w:p>
        </w:tc>
        <w:tc>
          <w:tcPr>
            <w:tcW w:w="4147" w:type="dxa"/>
          </w:tcPr>
          <w:p w14:paraId="4B3FE80D" w14:textId="77777777" w:rsidR="001E2D8F" w:rsidRPr="001E2D8F" w:rsidRDefault="001E2D8F" w:rsidP="001E2D8F">
            <w:pPr>
              <w:jc w:val="left"/>
              <w:rPr>
                <w:rFonts w:ascii="Calibri" w:hAnsi="Calibri" w:cs="Calibri"/>
                <w:sz w:val="20"/>
              </w:rPr>
            </w:pPr>
            <w:r w:rsidRPr="001E2D8F">
              <w:rPr>
                <w:rFonts w:ascii="Calibri" w:hAnsi="Calibri" w:cs="Calibri"/>
                <w:sz w:val="20"/>
              </w:rPr>
              <w:t>Rotation et stocks sans mouvement</w:t>
            </w:r>
          </w:p>
        </w:tc>
        <w:tc>
          <w:tcPr>
            <w:tcW w:w="4176" w:type="dxa"/>
          </w:tcPr>
          <w:p w14:paraId="6DB606FF" w14:textId="582C2561" w:rsidR="001E2D8F" w:rsidRPr="001E2D8F" w:rsidRDefault="001E2D8F" w:rsidP="001E2D8F">
            <w:pPr>
              <w:jc w:val="left"/>
              <w:rPr>
                <w:rFonts w:ascii="Calibri" w:hAnsi="Calibri" w:cs="Calibri"/>
                <w:sz w:val="20"/>
              </w:rPr>
            </w:pPr>
            <w:r w:rsidRPr="001E2D8F">
              <w:rPr>
                <w:rFonts w:ascii="Calibri" w:hAnsi="Calibri" w:cs="Calibri"/>
                <w:sz w:val="20"/>
              </w:rPr>
              <w:t>Mensuelle</w:t>
            </w:r>
            <w:r w:rsidRPr="001E2D8F">
              <w:rPr>
                <w:rFonts w:ascii="Calibri" w:hAnsi="Calibri" w:cs="Calibri"/>
                <w:sz w:val="20"/>
              </w:rPr>
              <w:t> :</w:t>
            </w:r>
            <w:r w:rsidRPr="001E2D8F">
              <w:rPr>
                <w:rFonts w:ascii="Calibri" w:hAnsi="Calibri" w:cs="Calibri"/>
                <w:sz w:val="20"/>
              </w:rPr>
              <w:t xml:space="preserve"> achats et déstockage</w:t>
            </w:r>
          </w:p>
        </w:tc>
      </w:tr>
      <w:tr w:rsidR="001E2D8F" w:rsidRPr="001E2D8F" w14:paraId="712C2A58" w14:textId="77777777" w:rsidTr="001E2D8F">
        <w:tc>
          <w:tcPr>
            <w:tcW w:w="2045" w:type="dxa"/>
          </w:tcPr>
          <w:p w14:paraId="16A023CE" w14:textId="77777777" w:rsidR="001E2D8F" w:rsidRPr="001E2D8F" w:rsidRDefault="001E2D8F" w:rsidP="001E2D8F">
            <w:pPr>
              <w:jc w:val="left"/>
              <w:rPr>
                <w:rFonts w:ascii="Calibri" w:hAnsi="Calibri" w:cs="Calibri"/>
                <w:sz w:val="20"/>
              </w:rPr>
            </w:pPr>
            <w:r w:rsidRPr="001E2D8F">
              <w:rPr>
                <w:rFonts w:ascii="Calibri" w:hAnsi="Calibri" w:cs="Calibri"/>
                <w:sz w:val="20"/>
              </w:rPr>
              <w:t>Sécuriser la liquidité</w:t>
            </w:r>
          </w:p>
        </w:tc>
        <w:tc>
          <w:tcPr>
            <w:tcW w:w="4147" w:type="dxa"/>
          </w:tcPr>
          <w:p w14:paraId="188A4DA9" w14:textId="77777777" w:rsidR="001E2D8F" w:rsidRPr="001E2D8F" w:rsidRDefault="001E2D8F" w:rsidP="001E2D8F">
            <w:pPr>
              <w:jc w:val="left"/>
              <w:rPr>
                <w:rFonts w:ascii="Calibri" w:hAnsi="Calibri" w:cs="Calibri"/>
                <w:sz w:val="20"/>
              </w:rPr>
            </w:pPr>
            <w:r w:rsidRPr="001E2D8F">
              <w:rPr>
                <w:rFonts w:ascii="Calibri" w:hAnsi="Calibri" w:cs="Calibri"/>
                <w:sz w:val="20"/>
              </w:rPr>
              <w:t>Trésorerie prévue sur 13 semaines</w:t>
            </w:r>
          </w:p>
        </w:tc>
        <w:tc>
          <w:tcPr>
            <w:tcW w:w="4176" w:type="dxa"/>
          </w:tcPr>
          <w:p w14:paraId="0CD20C3D" w14:textId="7626E176" w:rsidR="001E2D8F" w:rsidRPr="001E2D8F" w:rsidRDefault="001E2D8F" w:rsidP="001E2D8F">
            <w:pPr>
              <w:jc w:val="left"/>
              <w:rPr>
                <w:rFonts w:ascii="Calibri" w:hAnsi="Calibri" w:cs="Calibri"/>
                <w:sz w:val="20"/>
              </w:rPr>
            </w:pPr>
            <w:r w:rsidRPr="001E2D8F">
              <w:rPr>
                <w:rFonts w:ascii="Calibri" w:hAnsi="Calibri" w:cs="Calibri"/>
                <w:sz w:val="20"/>
              </w:rPr>
              <w:t>Hebdomadaire</w:t>
            </w:r>
            <w:r w:rsidRPr="001E2D8F">
              <w:rPr>
                <w:rFonts w:ascii="Calibri" w:hAnsi="Calibri" w:cs="Calibri"/>
                <w:sz w:val="20"/>
              </w:rPr>
              <w:t> :</w:t>
            </w:r>
            <w:r w:rsidRPr="001E2D8F">
              <w:rPr>
                <w:rFonts w:ascii="Calibri" w:hAnsi="Calibri" w:cs="Calibri"/>
                <w:sz w:val="20"/>
              </w:rPr>
              <w:t xml:space="preserve"> financement et paiements</w:t>
            </w:r>
          </w:p>
        </w:tc>
      </w:tr>
    </w:tbl>
    <w:p w14:paraId="466155EC" w14:textId="77777777" w:rsidR="001E2D8F" w:rsidRDefault="001E2D8F" w:rsidP="001E2D8F">
      <w:pPr>
        <w:spacing w:after="0" w:line="240" w:lineRule="auto"/>
      </w:pPr>
    </w:p>
    <w:p w14:paraId="1F2A2490" w14:textId="77777777" w:rsidR="001E2D8F" w:rsidRDefault="001E2D8F" w:rsidP="001E2D8F">
      <w:pPr>
        <w:spacing w:after="0" w:line="240" w:lineRule="auto"/>
      </w:pPr>
      <w:r>
        <w:t>Chaque indicateur possède une définition, une source, un responsable, une cible et un seuil d’alerte. Les objectifs tiennent compte de la situation de départ et des contraintes du métier.</w:t>
      </w:r>
    </w:p>
    <w:p w14:paraId="2EC97C62" w14:textId="77777777" w:rsidR="001E2D8F" w:rsidRDefault="001E2D8F" w:rsidP="001E2D8F">
      <w:pPr>
        <w:pStyle w:val="Titre2"/>
        <w:spacing w:before="0" w:after="0" w:line="240" w:lineRule="auto"/>
      </w:pPr>
      <w:r>
        <w:t>10.3- Analyser les écarts et agir</w:t>
      </w:r>
    </w:p>
    <w:p w14:paraId="02B58DCD" w14:textId="77777777" w:rsidR="001E2D8F" w:rsidRDefault="001E2D8F" w:rsidP="001E2D8F">
      <w:pPr>
        <w:spacing w:after="0" w:line="240" w:lineRule="auto"/>
      </w:pPr>
      <w:r>
        <w:rPr>
          <w:b/>
          <w:sz w:val="21"/>
        </w:rPr>
        <w:t>Écart sur chiffre d’affaires = chiffre d’affaires réel − chiffre d’affaires prévu</w:t>
      </w:r>
    </w:p>
    <w:p w14:paraId="0A0DAEEB" w14:textId="5C2BB0C4" w:rsidR="001E2D8F" w:rsidRDefault="001E2D8F" w:rsidP="001E2D8F">
      <w:pPr>
        <w:spacing w:after="0" w:line="240" w:lineRule="auto"/>
      </w:pPr>
      <w:r>
        <w:t>Pour un produit homogène</w:t>
      </w:r>
      <w:r>
        <w:t> :</w:t>
      </w:r>
      <w:r>
        <w:t xml:space="preserve"> effet prix = quantité réelle × (prix réel − prix prévu)</w:t>
      </w:r>
      <w:r>
        <w:t> ;</w:t>
      </w:r>
      <w:r>
        <w:t xml:space="preserve"> effet volume = prix prévu × (quantité réelle − quantité prévue). La somme de ces deux effets reconstitue exactement l’écart. Les coûts et le mélange des produits demandent une analyse complémentaire.</w:t>
      </w:r>
    </w:p>
    <w:p w14:paraId="49FC1EC0" w14:textId="77777777" w:rsidR="001E2D8F" w:rsidRDefault="001E2D8F" w:rsidP="001E2D8F">
      <w:pPr>
        <w:spacing w:after="0" w:line="240" w:lineRule="auto"/>
      </w:pPr>
      <w:r>
        <w:t>Une action comporte un responsable, un délai, un budget et un résultat attendu. Le suivi vérifie ensuite son efficacité. Un écart favorable à court terme peut rester préoccupant s’il provient du report d’une maintenance indispensable.</w:t>
      </w:r>
    </w:p>
    <w:p w14:paraId="513D691B" w14:textId="77777777" w:rsidR="001E2D8F" w:rsidRDefault="001E2D8F" w:rsidP="001E2D8F">
      <w:pPr>
        <w:spacing w:after="0" w:line="240" w:lineRule="auto"/>
      </w:pPr>
    </w:p>
    <w:p w14:paraId="6834911E" w14:textId="3BC0099C" w:rsidR="001E2D8F" w:rsidRDefault="001E2D8F" w:rsidP="001E2D8F">
      <w:pPr>
        <w:spacing w:after="0" w:line="240" w:lineRule="auto"/>
      </w:pPr>
    </w:p>
    <w:p w14:paraId="43B01399" w14:textId="77777777" w:rsidR="001E2D8F" w:rsidRDefault="001E2D8F" w:rsidP="001E2D8F">
      <w:pPr>
        <w:pStyle w:val="Titre1"/>
        <w:spacing w:before="0" w:after="0" w:line="240" w:lineRule="auto"/>
      </w:pPr>
      <w:r>
        <w:t>11- Application de synthèse</w:t>
      </w:r>
    </w:p>
    <w:p w14:paraId="54ECBD68" w14:textId="77777777" w:rsidR="001E2D8F" w:rsidRDefault="001E2D8F" w:rsidP="001E2D8F">
      <w:pPr>
        <w:pStyle w:val="Titre2"/>
        <w:spacing w:before="0" w:after="0" w:line="240" w:lineRule="auto"/>
      </w:pPr>
      <w:r>
        <w:t>11.1- Situation</w:t>
      </w:r>
    </w:p>
    <w:p w14:paraId="192B1D0B" w14:textId="6AD856F7" w:rsidR="001E2D8F" w:rsidRDefault="001E2D8F" w:rsidP="001E2D8F">
      <w:pPr>
        <w:spacing w:after="0" w:line="240" w:lineRule="auto"/>
      </w:pPr>
      <w:r>
        <w:t>Mécanor Services, entreprise fictive de 48 salariés spécialisée dans la maintenance industrielle, réalise un chiffre d’affaires annuel de 4 200 000</w:t>
      </w:r>
      <w:r>
        <w:t> €</w:t>
      </w:r>
      <w:r>
        <w:t>. Son dirigeant envisage de céder la totalité des titres. Le repreneur étudie une croissance de 10</w:t>
      </w:r>
      <w:r>
        <w:t> %</w:t>
      </w:r>
      <w:r>
        <w:t xml:space="preserve"> à structure d’exploitation constante. Les montants sont en euros.</w:t>
      </w:r>
    </w:p>
    <w:p w14:paraId="2605F5CE" w14:textId="77777777" w:rsidR="001E2D8F" w:rsidRDefault="001E2D8F" w:rsidP="001E2D8F">
      <w:pPr>
        <w:pStyle w:val="Titre2"/>
        <w:spacing w:before="0" w:after="0" w:line="240" w:lineRule="auto"/>
      </w:pPr>
      <w:r>
        <w:t>11.2- Données de diagnostic et de valorisation</w:t>
      </w:r>
    </w:p>
    <w:tbl>
      <w:tblPr>
        <w:tblStyle w:val="Grilledutableau"/>
        <w:tblW w:w="0" w:type="auto"/>
        <w:tblLayout w:type="fixed"/>
        <w:tblLook w:val="04A0" w:firstRow="1" w:lastRow="0" w:firstColumn="1" w:lastColumn="0" w:noHBand="0" w:noVBand="1"/>
      </w:tblPr>
      <w:tblGrid>
        <w:gridCol w:w="8064"/>
        <w:gridCol w:w="2304"/>
      </w:tblGrid>
      <w:tr w:rsidR="001E2D8F" w:rsidRPr="001E2D8F" w14:paraId="55DD0447" w14:textId="77777777" w:rsidTr="001E2D8F">
        <w:trPr>
          <w:tblHeader/>
        </w:trPr>
        <w:tc>
          <w:tcPr>
            <w:tcW w:w="8064" w:type="dxa"/>
          </w:tcPr>
          <w:p w14:paraId="4DB3AC43" w14:textId="77777777" w:rsidR="001E2D8F" w:rsidRPr="001E2D8F" w:rsidRDefault="001E2D8F" w:rsidP="001E2D8F">
            <w:pPr>
              <w:jc w:val="left"/>
              <w:rPr>
                <w:rFonts w:ascii="Calibri" w:hAnsi="Calibri" w:cs="Calibri"/>
                <w:sz w:val="20"/>
              </w:rPr>
            </w:pPr>
            <w:r w:rsidRPr="001E2D8F">
              <w:rPr>
                <w:rFonts w:ascii="Calibri" w:hAnsi="Calibri" w:cs="Calibri"/>
                <w:b/>
                <w:sz w:val="20"/>
              </w:rPr>
              <w:t>Donnée</w:t>
            </w:r>
          </w:p>
        </w:tc>
        <w:tc>
          <w:tcPr>
            <w:tcW w:w="2304" w:type="dxa"/>
          </w:tcPr>
          <w:p w14:paraId="00E46AAC" w14:textId="77777777" w:rsidR="001E2D8F" w:rsidRPr="001E2D8F" w:rsidRDefault="001E2D8F" w:rsidP="001E2D8F">
            <w:pPr>
              <w:jc w:val="left"/>
              <w:rPr>
                <w:rFonts w:ascii="Calibri" w:hAnsi="Calibri" w:cs="Calibri"/>
                <w:sz w:val="20"/>
              </w:rPr>
            </w:pPr>
            <w:r w:rsidRPr="001E2D8F">
              <w:rPr>
                <w:rFonts w:ascii="Calibri" w:hAnsi="Calibri" w:cs="Calibri"/>
                <w:b/>
                <w:sz w:val="20"/>
              </w:rPr>
              <w:t>Montant</w:t>
            </w:r>
          </w:p>
        </w:tc>
      </w:tr>
      <w:tr w:rsidR="001E2D8F" w:rsidRPr="001E2D8F" w14:paraId="4BE6EA20" w14:textId="77777777" w:rsidTr="001E2D8F">
        <w:tc>
          <w:tcPr>
            <w:tcW w:w="8064" w:type="dxa"/>
          </w:tcPr>
          <w:p w14:paraId="1AF9EFB0" w14:textId="77777777" w:rsidR="001E2D8F" w:rsidRPr="001E2D8F" w:rsidRDefault="001E2D8F" w:rsidP="001E2D8F">
            <w:pPr>
              <w:jc w:val="left"/>
              <w:rPr>
                <w:rFonts w:ascii="Calibri" w:hAnsi="Calibri" w:cs="Calibri"/>
                <w:sz w:val="20"/>
              </w:rPr>
            </w:pPr>
            <w:r w:rsidRPr="001E2D8F">
              <w:rPr>
                <w:rFonts w:ascii="Calibri" w:hAnsi="Calibri" w:cs="Calibri"/>
                <w:sz w:val="20"/>
              </w:rPr>
              <w:t>Excédent brut d’exploitation publié</w:t>
            </w:r>
          </w:p>
        </w:tc>
        <w:tc>
          <w:tcPr>
            <w:tcW w:w="2304" w:type="dxa"/>
          </w:tcPr>
          <w:p w14:paraId="016CF45B" w14:textId="77777777" w:rsidR="001E2D8F" w:rsidRPr="001E2D8F" w:rsidRDefault="001E2D8F" w:rsidP="001E2D8F">
            <w:pPr>
              <w:jc w:val="left"/>
              <w:rPr>
                <w:rFonts w:ascii="Calibri" w:hAnsi="Calibri" w:cs="Calibri"/>
                <w:sz w:val="20"/>
              </w:rPr>
            </w:pPr>
            <w:r w:rsidRPr="001E2D8F">
              <w:rPr>
                <w:rFonts w:ascii="Calibri" w:hAnsi="Calibri" w:cs="Calibri"/>
                <w:sz w:val="20"/>
              </w:rPr>
              <w:t>460 000</w:t>
            </w:r>
          </w:p>
        </w:tc>
      </w:tr>
      <w:tr w:rsidR="001E2D8F" w:rsidRPr="001E2D8F" w14:paraId="5FC55828" w14:textId="77777777" w:rsidTr="001E2D8F">
        <w:tc>
          <w:tcPr>
            <w:tcW w:w="8064" w:type="dxa"/>
          </w:tcPr>
          <w:p w14:paraId="74B0A7C3" w14:textId="77777777" w:rsidR="001E2D8F" w:rsidRPr="001E2D8F" w:rsidRDefault="001E2D8F" w:rsidP="001E2D8F">
            <w:pPr>
              <w:jc w:val="left"/>
              <w:rPr>
                <w:rFonts w:ascii="Calibri" w:hAnsi="Calibri" w:cs="Calibri"/>
                <w:sz w:val="20"/>
              </w:rPr>
            </w:pPr>
            <w:r w:rsidRPr="001E2D8F">
              <w:rPr>
                <w:rFonts w:ascii="Calibri" w:hAnsi="Calibri" w:cs="Calibri"/>
                <w:sz w:val="20"/>
              </w:rPr>
              <w:t>Subvention d’exploitation incluse, sans récurrence prévue</w:t>
            </w:r>
          </w:p>
        </w:tc>
        <w:tc>
          <w:tcPr>
            <w:tcW w:w="2304" w:type="dxa"/>
          </w:tcPr>
          <w:p w14:paraId="3820DCDA" w14:textId="77777777" w:rsidR="001E2D8F" w:rsidRPr="001E2D8F" w:rsidRDefault="001E2D8F" w:rsidP="001E2D8F">
            <w:pPr>
              <w:jc w:val="left"/>
              <w:rPr>
                <w:rFonts w:ascii="Calibri" w:hAnsi="Calibri" w:cs="Calibri"/>
                <w:sz w:val="20"/>
              </w:rPr>
            </w:pPr>
            <w:r w:rsidRPr="001E2D8F">
              <w:rPr>
                <w:rFonts w:ascii="Calibri" w:hAnsi="Calibri" w:cs="Calibri"/>
                <w:sz w:val="20"/>
              </w:rPr>
              <w:t>60 000</w:t>
            </w:r>
          </w:p>
        </w:tc>
      </w:tr>
      <w:tr w:rsidR="001E2D8F" w:rsidRPr="001E2D8F" w14:paraId="44CA7575" w14:textId="77777777" w:rsidTr="001E2D8F">
        <w:tc>
          <w:tcPr>
            <w:tcW w:w="8064" w:type="dxa"/>
          </w:tcPr>
          <w:p w14:paraId="30D3E2E1" w14:textId="77777777" w:rsidR="001E2D8F" w:rsidRPr="001E2D8F" w:rsidRDefault="001E2D8F" w:rsidP="001E2D8F">
            <w:pPr>
              <w:jc w:val="left"/>
              <w:rPr>
                <w:rFonts w:ascii="Calibri" w:hAnsi="Calibri" w:cs="Calibri"/>
                <w:sz w:val="20"/>
              </w:rPr>
            </w:pPr>
            <w:r w:rsidRPr="001E2D8F">
              <w:rPr>
                <w:rFonts w:ascii="Calibri" w:hAnsi="Calibri" w:cs="Calibri"/>
                <w:sz w:val="20"/>
              </w:rPr>
              <w:t>Dépense exceptionnelle de déménagement incluse</w:t>
            </w:r>
          </w:p>
        </w:tc>
        <w:tc>
          <w:tcPr>
            <w:tcW w:w="2304" w:type="dxa"/>
          </w:tcPr>
          <w:p w14:paraId="4BB39E3D" w14:textId="77777777" w:rsidR="001E2D8F" w:rsidRPr="001E2D8F" w:rsidRDefault="001E2D8F" w:rsidP="001E2D8F">
            <w:pPr>
              <w:jc w:val="left"/>
              <w:rPr>
                <w:rFonts w:ascii="Calibri" w:hAnsi="Calibri" w:cs="Calibri"/>
                <w:sz w:val="20"/>
              </w:rPr>
            </w:pPr>
            <w:r w:rsidRPr="001E2D8F">
              <w:rPr>
                <w:rFonts w:ascii="Calibri" w:hAnsi="Calibri" w:cs="Calibri"/>
                <w:sz w:val="20"/>
              </w:rPr>
              <w:t>25 000</w:t>
            </w:r>
          </w:p>
        </w:tc>
      </w:tr>
      <w:tr w:rsidR="001E2D8F" w:rsidRPr="001E2D8F" w14:paraId="38B62ED8" w14:textId="77777777" w:rsidTr="001E2D8F">
        <w:tc>
          <w:tcPr>
            <w:tcW w:w="8064" w:type="dxa"/>
          </w:tcPr>
          <w:p w14:paraId="2608E78A" w14:textId="77777777" w:rsidR="001E2D8F" w:rsidRPr="001E2D8F" w:rsidRDefault="001E2D8F" w:rsidP="001E2D8F">
            <w:pPr>
              <w:jc w:val="left"/>
              <w:rPr>
                <w:rFonts w:ascii="Calibri" w:hAnsi="Calibri" w:cs="Calibri"/>
                <w:sz w:val="20"/>
              </w:rPr>
            </w:pPr>
            <w:r w:rsidRPr="001E2D8F">
              <w:rPr>
                <w:rFonts w:ascii="Calibri" w:hAnsi="Calibri" w:cs="Calibri"/>
                <w:sz w:val="20"/>
              </w:rPr>
              <w:t>Surcoût annuel nécessaire pour remplacer le dirigeant</w:t>
            </w:r>
          </w:p>
        </w:tc>
        <w:tc>
          <w:tcPr>
            <w:tcW w:w="2304" w:type="dxa"/>
          </w:tcPr>
          <w:p w14:paraId="3EA77166" w14:textId="77777777" w:rsidR="001E2D8F" w:rsidRPr="001E2D8F" w:rsidRDefault="001E2D8F" w:rsidP="001E2D8F">
            <w:pPr>
              <w:jc w:val="left"/>
              <w:rPr>
                <w:rFonts w:ascii="Calibri" w:hAnsi="Calibri" w:cs="Calibri"/>
                <w:sz w:val="20"/>
              </w:rPr>
            </w:pPr>
            <w:r w:rsidRPr="001E2D8F">
              <w:rPr>
                <w:rFonts w:ascii="Calibri" w:hAnsi="Calibri" w:cs="Calibri"/>
                <w:sz w:val="20"/>
              </w:rPr>
              <w:t>15 000</w:t>
            </w:r>
          </w:p>
        </w:tc>
      </w:tr>
      <w:tr w:rsidR="001E2D8F" w:rsidRPr="001E2D8F" w14:paraId="4EB9B03C" w14:textId="77777777" w:rsidTr="001E2D8F">
        <w:tc>
          <w:tcPr>
            <w:tcW w:w="8064" w:type="dxa"/>
          </w:tcPr>
          <w:p w14:paraId="402FF7AD" w14:textId="77777777" w:rsidR="001E2D8F" w:rsidRPr="001E2D8F" w:rsidRDefault="001E2D8F" w:rsidP="001E2D8F">
            <w:pPr>
              <w:jc w:val="left"/>
              <w:rPr>
                <w:rFonts w:ascii="Calibri" w:hAnsi="Calibri" w:cs="Calibri"/>
                <w:sz w:val="20"/>
              </w:rPr>
            </w:pPr>
            <w:r w:rsidRPr="001E2D8F">
              <w:rPr>
                <w:rFonts w:ascii="Calibri" w:hAnsi="Calibri" w:cs="Calibri"/>
                <w:sz w:val="20"/>
              </w:rPr>
              <w:t>Capitaux propres comptables</w:t>
            </w:r>
          </w:p>
        </w:tc>
        <w:tc>
          <w:tcPr>
            <w:tcW w:w="2304" w:type="dxa"/>
          </w:tcPr>
          <w:p w14:paraId="0B3D6E35" w14:textId="77777777" w:rsidR="001E2D8F" w:rsidRPr="001E2D8F" w:rsidRDefault="001E2D8F" w:rsidP="001E2D8F">
            <w:pPr>
              <w:jc w:val="left"/>
              <w:rPr>
                <w:rFonts w:ascii="Calibri" w:hAnsi="Calibri" w:cs="Calibri"/>
                <w:sz w:val="20"/>
              </w:rPr>
            </w:pPr>
            <w:r w:rsidRPr="001E2D8F">
              <w:rPr>
                <w:rFonts w:ascii="Calibri" w:hAnsi="Calibri" w:cs="Calibri"/>
                <w:sz w:val="20"/>
              </w:rPr>
              <w:t>900 000</w:t>
            </w:r>
          </w:p>
        </w:tc>
      </w:tr>
      <w:tr w:rsidR="001E2D8F" w:rsidRPr="001E2D8F" w14:paraId="5F5E4372" w14:textId="77777777" w:rsidTr="001E2D8F">
        <w:tc>
          <w:tcPr>
            <w:tcW w:w="8064" w:type="dxa"/>
          </w:tcPr>
          <w:p w14:paraId="44AAC47D" w14:textId="77777777" w:rsidR="001E2D8F" w:rsidRPr="001E2D8F" w:rsidRDefault="001E2D8F" w:rsidP="001E2D8F">
            <w:pPr>
              <w:jc w:val="left"/>
              <w:rPr>
                <w:rFonts w:ascii="Calibri" w:hAnsi="Calibri" w:cs="Calibri"/>
                <w:sz w:val="20"/>
              </w:rPr>
            </w:pPr>
            <w:r w:rsidRPr="001E2D8F">
              <w:rPr>
                <w:rFonts w:ascii="Calibri" w:hAnsi="Calibri" w:cs="Calibri"/>
                <w:sz w:val="20"/>
              </w:rPr>
              <w:t>Plus-value économique retenue sur un immeuble</w:t>
            </w:r>
          </w:p>
        </w:tc>
        <w:tc>
          <w:tcPr>
            <w:tcW w:w="2304" w:type="dxa"/>
          </w:tcPr>
          <w:p w14:paraId="6640CF51" w14:textId="77777777" w:rsidR="001E2D8F" w:rsidRPr="001E2D8F" w:rsidRDefault="001E2D8F" w:rsidP="001E2D8F">
            <w:pPr>
              <w:jc w:val="left"/>
              <w:rPr>
                <w:rFonts w:ascii="Calibri" w:hAnsi="Calibri" w:cs="Calibri"/>
                <w:sz w:val="20"/>
              </w:rPr>
            </w:pPr>
            <w:r w:rsidRPr="001E2D8F">
              <w:rPr>
                <w:rFonts w:ascii="Calibri" w:hAnsi="Calibri" w:cs="Calibri"/>
                <w:sz w:val="20"/>
              </w:rPr>
              <w:t>80 000</w:t>
            </w:r>
          </w:p>
        </w:tc>
      </w:tr>
      <w:tr w:rsidR="001E2D8F" w:rsidRPr="001E2D8F" w14:paraId="0D1580D7" w14:textId="77777777" w:rsidTr="001E2D8F">
        <w:tc>
          <w:tcPr>
            <w:tcW w:w="8064" w:type="dxa"/>
          </w:tcPr>
          <w:p w14:paraId="3E4E5145" w14:textId="77777777" w:rsidR="001E2D8F" w:rsidRPr="001E2D8F" w:rsidRDefault="001E2D8F" w:rsidP="001E2D8F">
            <w:pPr>
              <w:jc w:val="left"/>
              <w:rPr>
                <w:rFonts w:ascii="Calibri" w:hAnsi="Calibri" w:cs="Calibri"/>
                <w:sz w:val="20"/>
              </w:rPr>
            </w:pPr>
            <w:r w:rsidRPr="001E2D8F">
              <w:rPr>
                <w:rFonts w:ascii="Calibri" w:hAnsi="Calibri" w:cs="Calibri"/>
                <w:sz w:val="20"/>
              </w:rPr>
              <w:t>Dépréciation supplémentaire de stocks</w:t>
            </w:r>
          </w:p>
        </w:tc>
        <w:tc>
          <w:tcPr>
            <w:tcW w:w="2304" w:type="dxa"/>
          </w:tcPr>
          <w:p w14:paraId="5D908A46" w14:textId="77777777" w:rsidR="001E2D8F" w:rsidRPr="001E2D8F" w:rsidRDefault="001E2D8F" w:rsidP="001E2D8F">
            <w:pPr>
              <w:jc w:val="left"/>
              <w:rPr>
                <w:rFonts w:ascii="Calibri" w:hAnsi="Calibri" w:cs="Calibri"/>
                <w:sz w:val="20"/>
              </w:rPr>
            </w:pPr>
            <w:r w:rsidRPr="001E2D8F">
              <w:rPr>
                <w:rFonts w:ascii="Calibri" w:hAnsi="Calibri" w:cs="Calibri"/>
                <w:sz w:val="20"/>
              </w:rPr>
              <w:t>30 000</w:t>
            </w:r>
          </w:p>
        </w:tc>
      </w:tr>
      <w:tr w:rsidR="001E2D8F" w:rsidRPr="001E2D8F" w14:paraId="5B51266D" w14:textId="77777777" w:rsidTr="001E2D8F">
        <w:tc>
          <w:tcPr>
            <w:tcW w:w="8064" w:type="dxa"/>
          </w:tcPr>
          <w:p w14:paraId="0CFC70AE" w14:textId="77777777" w:rsidR="001E2D8F" w:rsidRPr="001E2D8F" w:rsidRDefault="001E2D8F" w:rsidP="001E2D8F">
            <w:pPr>
              <w:jc w:val="left"/>
              <w:rPr>
                <w:rFonts w:ascii="Calibri" w:hAnsi="Calibri" w:cs="Calibri"/>
                <w:sz w:val="20"/>
              </w:rPr>
            </w:pPr>
            <w:r w:rsidRPr="001E2D8F">
              <w:rPr>
                <w:rFonts w:ascii="Calibri" w:hAnsi="Calibri" w:cs="Calibri"/>
                <w:sz w:val="20"/>
              </w:rPr>
              <w:t>Dépréciation supplémentaire de créances</w:t>
            </w:r>
          </w:p>
        </w:tc>
        <w:tc>
          <w:tcPr>
            <w:tcW w:w="2304" w:type="dxa"/>
          </w:tcPr>
          <w:p w14:paraId="4B7B7C02" w14:textId="77777777" w:rsidR="001E2D8F" w:rsidRPr="001E2D8F" w:rsidRDefault="001E2D8F" w:rsidP="001E2D8F">
            <w:pPr>
              <w:jc w:val="left"/>
              <w:rPr>
                <w:rFonts w:ascii="Calibri" w:hAnsi="Calibri" w:cs="Calibri"/>
                <w:sz w:val="20"/>
              </w:rPr>
            </w:pPr>
            <w:r w:rsidRPr="001E2D8F">
              <w:rPr>
                <w:rFonts w:ascii="Calibri" w:hAnsi="Calibri" w:cs="Calibri"/>
                <w:sz w:val="20"/>
              </w:rPr>
              <w:t>20 000</w:t>
            </w:r>
          </w:p>
        </w:tc>
      </w:tr>
      <w:tr w:rsidR="001E2D8F" w:rsidRPr="001E2D8F" w14:paraId="717CBF95" w14:textId="77777777" w:rsidTr="001E2D8F">
        <w:tc>
          <w:tcPr>
            <w:tcW w:w="8064" w:type="dxa"/>
          </w:tcPr>
          <w:p w14:paraId="533C0B4C" w14:textId="77777777" w:rsidR="001E2D8F" w:rsidRPr="001E2D8F" w:rsidRDefault="001E2D8F" w:rsidP="001E2D8F">
            <w:pPr>
              <w:jc w:val="left"/>
              <w:rPr>
                <w:rFonts w:ascii="Calibri" w:hAnsi="Calibri" w:cs="Calibri"/>
                <w:sz w:val="20"/>
              </w:rPr>
            </w:pPr>
            <w:r w:rsidRPr="001E2D8F">
              <w:rPr>
                <w:rFonts w:ascii="Calibri" w:hAnsi="Calibri" w:cs="Calibri"/>
                <w:sz w:val="20"/>
              </w:rPr>
              <w:t>Passif omis identifié</w:t>
            </w:r>
          </w:p>
        </w:tc>
        <w:tc>
          <w:tcPr>
            <w:tcW w:w="2304" w:type="dxa"/>
          </w:tcPr>
          <w:p w14:paraId="418A4B6F" w14:textId="77777777" w:rsidR="001E2D8F" w:rsidRPr="001E2D8F" w:rsidRDefault="001E2D8F" w:rsidP="001E2D8F">
            <w:pPr>
              <w:jc w:val="left"/>
              <w:rPr>
                <w:rFonts w:ascii="Calibri" w:hAnsi="Calibri" w:cs="Calibri"/>
                <w:sz w:val="20"/>
              </w:rPr>
            </w:pPr>
            <w:r w:rsidRPr="001E2D8F">
              <w:rPr>
                <w:rFonts w:ascii="Calibri" w:hAnsi="Calibri" w:cs="Calibri"/>
                <w:sz w:val="20"/>
              </w:rPr>
              <w:t>40 000</w:t>
            </w:r>
          </w:p>
        </w:tc>
      </w:tr>
      <w:tr w:rsidR="001E2D8F" w:rsidRPr="001E2D8F" w14:paraId="7E0D0F40" w14:textId="77777777" w:rsidTr="001E2D8F">
        <w:tc>
          <w:tcPr>
            <w:tcW w:w="8064" w:type="dxa"/>
          </w:tcPr>
          <w:p w14:paraId="59CEA44C" w14:textId="77777777" w:rsidR="001E2D8F" w:rsidRPr="001E2D8F" w:rsidRDefault="001E2D8F" w:rsidP="001E2D8F">
            <w:pPr>
              <w:jc w:val="left"/>
              <w:rPr>
                <w:rFonts w:ascii="Calibri" w:hAnsi="Calibri" w:cs="Calibri"/>
                <w:sz w:val="20"/>
              </w:rPr>
            </w:pPr>
            <w:r w:rsidRPr="001E2D8F">
              <w:rPr>
                <w:rFonts w:ascii="Calibri" w:hAnsi="Calibri" w:cs="Calibri"/>
                <w:sz w:val="20"/>
              </w:rPr>
              <w:t>Dettes financières hors comptes courants du cédant</w:t>
            </w:r>
          </w:p>
        </w:tc>
        <w:tc>
          <w:tcPr>
            <w:tcW w:w="2304" w:type="dxa"/>
          </w:tcPr>
          <w:p w14:paraId="6781EA79" w14:textId="77777777" w:rsidR="001E2D8F" w:rsidRPr="001E2D8F" w:rsidRDefault="001E2D8F" w:rsidP="001E2D8F">
            <w:pPr>
              <w:jc w:val="left"/>
              <w:rPr>
                <w:rFonts w:ascii="Calibri" w:hAnsi="Calibri" w:cs="Calibri"/>
                <w:sz w:val="20"/>
              </w:rPr>
            </w:pPr>
            <w:r w:rsidRPr="001E2D8F">
              <w:rPr>
                <w:rFonts w:ascii="Calibri" w:hAnsi="Calibri" w:cs="Calibri"/>
                <w:sz w:val="20"/>
              </w:rPr>
              <w:t>600 000</w:t>
            </w:r>
          </w:p>
        </w:tc>
      </w:tr>
      <w:tr w:rsidR="001E2D8F" w:rsidRPr="001E2D8F" w14:paraId="32516FB3" w14:textId="77777777" w:rsidTr="001E2D8F">
        <w:tc>
          <w:tcPr>
            <w:tcW w:w="8064" w:type="dxa"/>
          </w:tcPr>
          <w:p w14:paraId="560F0EA6" w14:textId="77777777" w:rsidR="001E2D8F" w:rsidRPr="001E2D8F" w:rsidRDefault="001E2D8F" w:rsidP="001E2D8F">
            <w:pPr>
              <w:jc w:val="left"/>
              <w:rPr>
                <w:rFonts w:ascii="Calibri" w:hAnsi="Calibri" w:cs="Calibri"/>
                <w:sz w:val="20"/>
              </w:rPr>
            </w:pPr>
            <w:r w:rsidRPr="001E2D8F">
              <w:rPr>
                <w:rFonts w:ascii="Calibri" w:hAnsi="Calibri" w:cs="Calibri"/>
                <w:sz w:val="20"/>
              </w:rPr>
              <w:t>Trésorerie disponible retenue pour la valorisation</w:t>
            </w:r>
          </w:p>
        </w:tc>
        <w:tc>
          <w:tcPr>
            <w:tcW w:w="2304" w:type="dxa"/>
          </w:tcPr>
          <w:p w14:paraId="1AB1CEA6" w14:textId="77777777" w:rsidR="001E2D8F" w:rsidRPr="001E2D8F" w:rsidRDefault="001E2D8F" w:rsidP="001E2D8F">
            <w:pPr>
              <w:jc w:val="left"/>
              <w:rPr>
                <w:rFonts w:ascii="Calibri" w:hAnsi="Calibri" w:cs="Calibri"/>
                <w:sz w:val="20"/>
              </w:rPr>
            </w:pPr>
            <w:r w:rsidRPr="001E2D8F">
              <w:rPr>
                <w:rFonts w:ascii="Calibri" w:hAnsi="Calibri" w:cs="Calibri"/>
                <w:sz w:val="20"/>
              </w:rPr>
              <w:t>150 000</w:t>
            </w:r>
          </w:p>
        </w:tc>
      </w:tr>
    </w:tbl>
    <w:p w14:paraId="7937051C" w14:textId="77777777" w:rsidR="001E2D8F" w:rsidRDefault="001E2D8F" w:rsidP="001E2D8F">
      <w:pPr>
        <w:spacing w:after="0" w:line="240" w:lineRule="auto"/>
      </w:pPr>
    </w:p>
    <w:p w14:paraId="4ECBF044" w14:textId="77777777" w:rsidR="001E2D8F" w:rsidRDefault="001E2D8F" w:rsidP="001E2D8F">
      <w:pPr>
        <w:spacing w:after="0" w:line="240" w:lineRule="auto"/>
      </w:pPr>
      <w:r>
        <w:t>Les multiples de comparaison, supposés justifiés pour l’exercice, vont de 4 à 5 fois l’excédent brut d’exploitation normalisé et évaluent l’activité. Les corrections patrimoniales sont fournies nettes des incidences fiscales retenues. Aucun actif hors exploitation n’est à ajouter à la valeur issue des multiples.</w:t>
      </w:r>
    </w:p>
    <w:p w14:paraId="00CD4C87" w14:textId="77777777" w:rsidR="001E2D8F" w:rsidRDefault="001E2D8F" w:rsidP="001E2D8F">
      <w:pPr>
        <w:pStyle w:val="Titre2"/>
        <w:spacing w:before="0" w:after="0" w:line="240" w:lineRule="auto"/>
      </w:pPr>
      <w:r>
        <w:t>11.3- Données de financement</w:t>
      </w:r>
    </w:p>
    <w:p w14:paraId="5EFD9921" w14:textId="45EE06FE" w:rsidR="001E2D8F" w:rsidRDefault="001E2D8F" w:rsidP="001E2D8F">
      <w:pPr>
        <w:spacing w:after="0" w:line="240" w:lineRule="auto"/>
      </w:pPr>
      <w:r>
        <w:t>Stocks</w:t>
      </w:r>
      <w:r>
        <w:t> :</w:t>
      </w:r>
      <w:r>
        <w:t xml:space="preserve"> 350 000</w:t>
      </w:r>
      <w:r>
        <w:t> €</w:t>
      </w:r>
      <w:r>
        <w:t>. Créances clients</w:t>
      </w:r>
      <w:r>
        <w:t> :</w:t>
      </w:r>
      <w:r>
        <w:t xml:space="preserve"> 700 000</w:t>
      </w:r>
      <w:r>
        <w:t> €</w:t>
      </w:r>
      <w:r>
        <w:t>. Autres créances d’exploitation</w:t>
      </w:r>
      <w:r>
        <w:t> :</w:t>
      </w:r>
      <w:r>
        <w:t xml:space="preserve"> 50 000</w:t>
      </w:r>
      <w:r>
        <w:t> €</w:t>
      </w:r>
      <w:r>
        <w:t>. Dettes fournisseurs</w:t>
      </w:r>
      <w:r>
        <w:t> :</w:t>
      </w:r>
      <w:r>
        <w:t xml:space="preserve"> 420 000</w:t>
      </w:r>
      <w:r>
        <w:t> €</w:t>
      </w:r>
      <w:r>
        <w:t>. Autres dettes d’exploitation</w:t>
      </w:r>
      <w:r>
        <w:t> :</w:t>
      </w:r>
      <w:r>
        <w:t xml:space="preserve"> 80 000</w:t>
      </w:r>
      <w:r>
        <w:t> €</w:t>
      </w:r>
      <w:r>
        <w:t>. Le besoin existant est déjà financé et son financement est maintenu. La trésorerie de la cible reste affectée à son fonctionnement.</w:t>
      </w:r>
    </w:p>
    <w:p w14:paraId="41E868C5" w14:textId="4B0CCE39" w:rsidR="001E2D8F" w:rsidRDefault="001E2D8F" w:rsidP="001E2D8F">
      <w:pPr>
        <w:spacing w:after="0" w:line="240" w:lineRule="auto"/>
      </w:pPr>
      <w:r>
        <w:lastRenderedPageBreak/>
        <w:t>Prix négocié des titres</w:t>
      </w:r>
      <w:r>
        <w:t> :</w:t>
      </w:r>
      <w:r>
        <w:t xml:space="preserve"> 1 400 000</w:t>
      </w:r>
      <w:r>
        <w:t> €</w:t>
      </w:r>
      <w:r>
        <w:t>. Frais et droits</w:t>
      </w:r>
      <w:r>
        <w:t> :</w:t>
      </w:r>
      <w:r>
        <w:t xml:space="preserve"> 70 000</w:t>
      </w:r>
      <w:r>
        <w:t> €</w:t>
      </w:r>
      <w:r>
        <w:t>. Investissements immédiats</w:t>
      </w:r>
      <w:r>
        <w:t> :</w:t>
      </w:r>
      <w:r>
        <w:t xml:space="preserve"> 120 000</w:t>
      </w:r>
      <w:r>
        <w:t> €</w:t>
      </w:r>
      <w:r>
        <w:t>. Compte courant du cédant à rembourser séparément</w:t>
      </w:r>
      <w:r>
        <w:t> :</w:t>
      </w:r>
      <w:r>
        <w:t xml:space="preserve"> 80 000</w:t>
      </w:r>
      <w:r>
        <w:t> €</w:t>
      </w:r>
      <w:r>
        <w:t>. Réserve supplémentaire de trésorerie</w:t>
      </w:r>
      <w:r>
        <w:t> :</w:t>
      </w:r>
      <w:r>
        <w:t xml:space="preserve"> 50 000</w:t>
      </w:r>
      <w:r>
        <w:t> €</w:t>
      </w:r>
      <w:r>
        <w:t>. Apports</w:t>
      </w:r>
      <w:r>
        <w:t> :</w:t>
      </w:r>
      <w:r>
        <w:t xml:space="preserve"> 500 000</w:t>
      </w:r>
      <w:r>
        <w:t> €</w:t>
      </w:r>
      <w:r>
        <w:t>. Crédit vendeur</w:t>
      </w:r>
      <w:r>
        <w:t> :</w:t>
      </w:r>
      <w:r>
        <w:t xml:space="preserve"> 200 000</w:t>
      </w:r>
      <w:r>
        <w:t> €</w:t>
      </w:r>
      <w:r>
        <w:t>. Le financement bancaire complète les ressources. Ces montants de besoins constituent les décaissements retenus, sans autre incidence de taxes à ajouter pour l’exercice.</w:t>
      </w:r>
    </w:p>
    <w:p w14:paraId="0C083472" w14:textId="77777777" w:rsidR="001E2D8F" w:rsidRDefault="001E2D8F" w:rsidP="001E2D8F">
      <w:pPr>
        <w:pStyle w:val="Titre2"/>
        <w:spacing w:before="0" w:after="0" w:line="240" w:lineRule="auto"/>
      </w:pPr>
      <w:r>
        <w:t>11.4- Travail demandé</w:t>
      </w:r>
    </w:p>
    <w:p w14:paraId="31D0BBF4" w14:textId="17D6CFB5" w:rsidR="001E2D8F" w:rsidRPr="001E2D8F" w:rsidRDefault="001E2D8F" w:rsidP="001E2D8F">
      <w:pPr>
        <w:pStyle w:val="Paragraphedeliste"/>
        <w:numPr>
          <w:ilvl w:val="0"/>
          <w:numId w:val="3"/>
        </w:numPr>
      </w:pPr>
      <w:r w:rsidRPr="001E2D8F">
        <w:t>Calculer et expliquer la performance normalisée.</w:t>
      </w:r>
    </w:p>
    <w:p w14:paraId="2FC73E82" w14:textId="4D1FDDB3" w:rsidR="001E2D8F" w:rsidRPr="001E2D8F" w:rsidRDefault="001E2D8F" w:rsidP="001E2D8F">
      <w:pPr>
        <w:pStyle w:val="Paragraphedeliste"/>
        <w:numPr>
          <w:ilvl w:val="0"/>
          <w:numId w:val="3"/>
        </w:numPr>
      </w:pPr>
      <w:r w:rsidRPr="001E2D8F">
        <w:t>Calculer l’actif net corrigé et la fourchette de valeur des titres.</w:t>
      </w:r>
    </w:p>
    <w:p w14:paraId="09B5C3EB" w14:textId="0823B01E" w:rsidR="001E2D8F" w:rsidRPr="001E2D8F" w:rsidRDefault="001E2D8F" w:rsidP="001E2D8F">
      <w:pPr>
        <w:pStyle w:val="Paragraphedeliste"/>
        <w:numPr>
          <w:ilvl w:val="0"/>
          <w:numId w:val="3"/>
        </w:numPr>
      </w:pPr>
      <w:r w:rsidRPr="001E2D8F">
        <w:t>Déterminer le besoin d’exploitation et son augmentation liée à la croissance.</w:t>
      </w:r>
    </w:p>
    <w:p w14:paraId="1D29B4D0" w14:textId="439CC4C6" w:rsidR="001E2D8F" w:rsidRPr="001E2D8F" w:rsidRDefault="001E2D8F" w:rsidP="001E2D8F">
      <w:pPr>
        <w:pStyle w:val="Paragraphedeliste"/>
        <w:numPr>
          <w:ilvl w:val="0"/>
          <w:numId w:val="3"/>
        </w:numPr>
      </w:pPr>
      <w:r w:rsidRPr="001E2D8F">
        <w:t>Construire le plan initial et calculer l’emprunt nécessaire.</w:t>
      </w:r>
    </w:p>
    <w:p w14:paraId="640A4A01" w14:textId="03882045" w:rsidR="001E2D8F" w:rsidRPr="001E2D8F" w:rsidRDefault="001E2D8F" w:rsidP="001E2D8F">
      <w:pPr>
        <w:pStyle w:val="Paragraphedeliste"/>
        <w:numPr>
          <w:ilvl w:val="0"/>
          <w:numId w:val="3"/>
        </w:numPr>
      </w:pPr>
      <w:r w:rsidRPr="001E2D8F">
        <w:t>Apprécier le prix et proposer trois contrôles prioritaires.</w:t>
      </w:r>
    </w:p>
    <w:p w14:paraId="3B6C098F" w14:textId="77777777" w:rsidR="001E2D8F" w:rsidRDefault="001E2D8F" w:rsidP="001E2D8F">
      <w:pPr>
        <w:pStyle w:val="Titre1"/>
        <w:spacing w:before="0" w:after="0" w:line="240" w:lineRule="auto"/>
      </w:pPr>
      <w:r>
        <w:t>12- Corrigé de l’application</w:t>
      </w:r>
    </w:p>
    <w:p w14:paraId="3AB77DCE" w14:textId="77777777" w:rsidR="001E2D8F" w:rsidRDefault="001E2D8F" w:rsidP="001E2D8F">
      <w:pPr>
        <w:pStyle w:val="Titre2"/>
        <w:spacing w:before="0" w:after="0" w:line="240" w:lineRule="auto"/>
      </w:pPr>
      <w:r>
        <w:t>12.1- Performance normalisée</w:t>
      </w:r>
    </w:p>
    <w:p w14:paraId="2C620CEC" w14:textId="353E6354" w:rsidR="001E2D8F" w:rsidRDefault="001E2D8F" w:rsidP="001E2D8F">
      <w:pPr>
        <w:spacing w:after="0" w:line="240" w:lineRule="auto"/>
      </w:pPr>
      <w:r>
        <w:rPr>
          <w:b/>
          <w:sz w:val="21"/>
        </w:rPr>
        <w:t>460 000 − 60 000 + 25 000 − 15 000 = 410 000</w:t>
      </w:r>
      <w:r>
        <w:rPr>
          <w:b/>
          <w:sz w:val="21"/>
        </w:rPr>
        <w:t> €</w:t>
      </w:r>
    </w:p>
    <w:p w14:paraId="48967F58" w14:textId="7216B63B" w:rsidR="001E2D8F" w:rsidRDefault="001E2D8F" w:rsidP="001E2D8F">
      <w:pPr>
        <w:spacing w:after="0" w:line="240" w:lineRule="auto"/>
      </w:pPr>
      <w:r>
        <w:t>La subvention non récurrente est retirée. La dépense exceptionnelle est neutralisée. Le coût supplémentaire de remplacement du dirigeant est déduit. La performance normalisée est inférieure au montant publié de 50 000</w:t>
      </w:r>
      <w:r>
        <w:t> €</w:t>
      </w:r>
      <w:r>
        <w:t>.</w:t>
      </w:r>
    </w:p>
    <w:p w14:paraId="50A022FE" w14:textId="77777777" w:rsidR="001E2D8F" w:rsidRDefault="001E2D8F" w:rsidP="001E2D8F">
      <w:pPr>
        <w:pStyle w:val="Titre2"/>
        <w:spacing w:before="0" w:after="0" w:line="240" w:lineRule="auto"/>
      </w:pPr>
      <w:r>
        <w:t>12.2- Valorisation</w:t>
      </w:r>
    </w:p>
    <w:p w14:paraId="2A6B43D0" w14:textId="5059D52C" w:rsidR="001E2D8F" w:rsidRDefault="001E2D8F" w:rsidP="001E2D8F">
      <w:pPr>
        <w:spacing w:after="0" w:line="240" w:lineRule="auto"/>
      </w:pPr>
      <w:r>
        <w:rPr>
          <w:b/>
          <w:sz w:val="21"/>
        </w:rPr>
        <w:t>Actif net corrigé = 900 000 + 80 000 − 30 000 − 20 000 − 40 000 = 890 000</w:t>
      </w:r>
      <w:r>
        <w:rPr>
          <w:b/>
          <w:sz w:val="21"/>
        </w:rPr>
        <w:t> €</w:t>
      </w:r>
    </w:p>
    <w:p w14:paraId="70155EB9" w14:textId="2695484B" w:rsidR="001E2D8F" w:rsidRDefault="001E2D8F" w:rsidP="001E2D8F">
      <w:pPr>
        <w:spacing w:after="0" w:line="240" w:lineRule="auto"/>
      </w:pPr>
      <w:r>
        <w:rPr>
          <w:b/>
          <w:sz w:val="21"/>
        </w:rPr>
        <w:t>Valeur de l’activité</w:t>
      </w:r>
      <w:r>
        <w:rPr>
          <w:b/>
          <w:sz w:val="21"/>
        </w:rPr>
        <w:t> :</w:t>
      </w:r>
      <w:r>
        <w:rPr>
          <w:b/>
          <w:sz w:val="21"/>
        </w:rPr>
        <w:t xml:space="preserve"> de 410 000 × 4 à 410 000 × 5, soit 1 640 000 à 2 050 000</w:t>
      </w:r>
      <w:r>
        <w:rPr>
          <w:b/>
          <w:sz w:val="21"/>
        </w:rPr>
        <w:t> €</w:t>
      </w:r>
    </w:p>
    <w:p w14:paraId="7EDFC914" w14:textId="3D3C5BD3" w:rsidR="001E2D8F" w:rsidRDefault="001E2D8F" w:rsidP="001E2D8F">
      <w:pPr>
        <w:spacing w:after="0" w:line="240" w:lineRule="auto"/>
      </w:pPr>
      <w:r>
        <w:rPr>
          <w:b/>
          <w:sz w:val="21"/>
        </w:rPr>
        <w:t>Dette financière nette = 600 000 + 80 000 − 150 000 = 530 000</w:t>
      </w:r>
      <w:r>
        <w:rPr>
          <w:b/>
          <w:sz w:val="21"/>
        </w:rPr>
        <w:t> €</w:t>
      </w:r>
    </w:p>
    <w:p w14:paraId="6A31F76E" w14:textId="1A0EDC74" w:rsidR="001E2D8F" w:rsidRDefault="001E2D8F" w:rsidP="001E2D8F">
      <w:pPr>
        <w:spacing w:after="0" w:line="240" w:lineRule="auto"/>
      </w:pPr>
      <w:r>
        <w:rPr>
          <w:b/>
          <w:sz w:val="21"/>
        </w:rPr>
        <w:t>Valeur des titres</w:t>
      </w:r>
      <w:r>
        <w:rPr>
          <w:b/>
          <w:sz w:val="21"/>
        </w:rPr>
        <w:t> :</w:t>
      </w:r>
      <w:r>
        <w:rPr>
          <w:b/>
          <w:sz w:val="21"/>
        </w:rPr>
        <w:t xml:space="preserve"> de 1 110 000 à 1 520 000</w:t>
      </w:r>
      <w:r>
        <w:rPr>
          <w:b/>
          <w:sz w:val="21"/>
        </w:rPr>
        <w:t> €</w:t>
      </w:r>
    </w:p>
    <w:p w14:paraId="19EE17D9" w14:textId="411BCD96" w:rsidR="001E2D8F" w:rsidRDefault="001E2D8F" w:rsidP="001E2D8F">
      <w:pPr>
        <w:spacing w:after="0" w:line="240" w:lineRule="auto"/>
      </w:pPr>
      <w:r>
        <w:t>Le compte courant du cédant est une dette financière de la cible</w:t>
      </w:r>
      <w:r>
        <w:t> :</w:t>
      </w:r>
      <w:r>
        <w:t xml:space="preserve"> il est inclus dans le passage de la valeur de l’activité à celle des titres. Son remboursement figure séparément dans le plan de financement, car le prix des titres ne rémunère pas cette créance. Ce traitement évite de confondre les titres et le prêt de l’associé.</w:t>
      </w:r>
    </w:p>
    <w:p w14:paraId="5E158DFD" w14:textId="77777777" w:rsidR="001E2D8F" w:rsidRDefault="001E2D8F" w:rsidP="001E2D8F">
      <w:pPr>
        <w:pStyle w:val="Titre2"/>
        <w:spacing w:before="0" w:after="0" w:line="240" w:lineRule="auto"/>
      </w:pPr>
      <w:r>
        <w:t>12.3- Cycle d’exploitation</w:t>
      </w:r>
    </w:p>
    <w:p w14:paraId="7BF4F88D" w14:textId="7DC2A204" w:rsidR="001E2D8F" w:rsidRDefault="001E2D8F" w:rsidP="001E2D8F">
      <w:pPr>
        <w:spacing w:after="0" w:line="240" w:lineRule="auto"/>
      </w:pPr>
      <w:r>
        <w:rPr>
          <w:b/>
          <w:sz w:val="21"/>
        </w:rPr>
        <w:t>350 000 + 700 000 + 50 000 − 420 000 − 80 000 = 600 000</w:t>
      </w:r>
      <w:r>
        <w:rPr>
          <w:b/>
          <w:sz w:val="21"/>
        </w:rPr>
        <w:t> €</w:t>
      </w:r>
    </w:p>
    <w:p w14:paraId="7FF02AA9" w14:textId="2BE85970" w:rsidR="001E2D8F" w:rsidRDefault="001E2D8F" w:rsidP="001E2D8F">
      <w:pPr>
        <w:spacing w:after="0" w:line="240" w:lineRule="auto"/>
      </w:pPr>
      <w:r>
        <w:rPr>
          <w:b/>
          <w:sz w:val="21"/>
        </w:rPr>
        <w:t>Coefficient de besoin = 600 000 / 4 200 000 = 14,29</w:t>
      </w:r>
      <w:r>
        <w:rPr>
          <w:b/>
          <w:sz w:val="21"/>
        </w:rPr>
        <w:t> %</w:t>
      </w:r>
      <w:r>
        <w:rPr>
          <w:b/>
          <w:sz w:val="21"/>
        </w:rPr>
        <w:t xml:space="preserve"> environ</w:t>
      </w:r>
    </w:p>
    <w:p w14:paraId="3BA195E6" w14:textId="4316FE9B" w:rsidR="001E2D8F" w:rsidRDefault="001E2D8F" w:rsidP="001E2D8F">
      <w:pPr>
        <w:spacing w:after="0" w:line="240" w:lineRule="auto"/>
      </w:pPr>
      <w:r>
        <w:rPr>
          <w:b/>
          <w:sz w:val="21"/>
        </w:rPr>
        <w:t>Hausse des ventes = 4 200 000 × 10</w:t>
      </w:r>
      <w:r>
        <w:rPr>
          <w:b/>
          <w:sz w:val="21"/>
        </w:rPr>
        <w:t> %</w:t>
      </w:r>
      <w:r>
        <w:rPr>
          <w:b/>
          <w:sz w:val="21"/>
        </w:rPr>
        <w:t xml:space="preserve"> = 420 000</w:t>
      </w:r>
      <w:r>
        <w:rPr>
          <w:b/>
          <w:sz w:val="21"/>
        </w:rPr>
        <w:t> €</w:t>
      </w:r>
    </w:p>
    <w:p w14:paraId="41005FD0" w14:textId="7ABC1558" w:rsidR="001E2D8F" w:rsidRDefault="001E2D8F" w:rsidP="001E2D8F">
      <w:pPr>
        <w:spacing w:after="0" w:line="240" w:lineRule="auto"/>
      </w:pPr>
      <w:r>
        <w:rPr>
          <w:b/>
          <w:sz w:val="21"/>
        </w:rPr>
        <w:t>Besoin supplémentaire = 600 000 × 10</w:t>
      </w:r>
      <w:r>
        <w:rPr>
          <w:b/>
          <w:sz w:val="21"/>
        </w:rPr>
        <w:t> %</w:t>
      </w:r>
      <w:r>
        <w:rPr>
          <w:b/>
          <w:sz w:val="21"/>
        </w:rPr>
        <w:t xml:space="preserve"> = 60 000</w:t>
      </w:r>
      <w:r>
        <w:rPr>
          <w:b/>
          <w:sz w:val="21"/>
        </w:rPr>
        <w:t> €</w:t>
      </w:r>
    </w:p>
    <w:p w14:paraId="46687E70" w14:textId="77777777" w:rsidR="001E2D8F" w:rsidRDefault="001E2D8F" w:rsidP="001E2D8F">
      <w:pPr>
        <w:pStyle w:val="Titre2"/>
        <w:spacing w:before="0" w:after="0" w:line="240" w:lineRule="auto"/>
      </w:pPr>
      <w:r>
        <w:t>12.4- Plan initial de financement</w:t>
      </w:r>
    </w:p>
    <w:tbl>
      <w:tblPr>
        <w:tblStyle w:val="Grilledutableau"/>
        <w:tblW w:w="0" w:type="auto"/>
        <w:tblLayout w:type="fixed"/>
        <w:tblLook w:val="04A0" w:firstRow="1" w:lastRow="0" w:firstColumn="1" w:lastColumn="0" w:noHBand="0" w:noVBand="1"/>
      </w:tblPr>
      <w:tblGrid>
        <w:gridCol w:w="3888"/>
        <w:gridCol w:w="1440"/>
        <w:gridCol w:w="3456"/>
        <w:gridCol w:w="1584"/>
      </w:tblGrid>
      <w:tr w:rsidR="001E2D8F" w:rsidRPr="001E2D8F" w14:paraId="102F1DF5" w14:textId="77777777" w:rsidTr="001E2D8F">
        <w:trPr>
          <w:tblHeader/>
        </w:trPr>
        <w:tc>
          <w:tcPr>
            <w:tcW w:w="3888" w:type="dxa"/>
          </w:tcPr>
          <w:p w14:paraId="31C75A4B" w14:textId="77777777" w:rsidR="001E2D8F" w:rsidRPr="001E2D8F" w:rsidRDefault="001E2D8F" w:rsidP="001E2D8F">
            <w:pPr>
              <w:jc w:val="left"/>
              <w:rPr>
                <w:rFonts w:ascii="Calibri" w:hAnsi="Calibri" w:cs="Calibri"/>
                <w:sz w:val="20"/>
              </w:rPr>
            </w:pPr>
            <w:r w:rsidRPr="001E2D8F">
              <w:rPr>
                <w:rFonts w:ascii="Calibri" w:hAnsi="Calibri" w:cs="Calibri"/>
                <w:b/>
                <w:sz w:val="20"/>
              </w:rPr>
              <w:t>Besoins</w:t>
            </w:r>
          </w:p>
        </w:tc>
        <w:tc>
          <w:tcPr>
            <w:tcW w:w="1440" w:type="dxa"/>
          </w:tcPr>
          <w:p w14:paraId="47DFAD49" w14:textId="77777777" w:rsidR="001E2D8F" w:rsidRPr="001E2D8F" w:rsidRDefault="001E2D8F" w:rsidP="001E2D8F">
            <w:pPr>
              <w:jc w:val="left"/>
              <w:rPr>
                <w:rFonts w:ascii="Calibri" w:hAnsi="Calibri" w:cs="Calibri"/>
                <w:sz w:val="20"/>
              </w:rPr>
            </w:pPr>
            <w:r w:rsidRPr="001E2D8F">
              <w:rPr>
                <w:rFonts w:ascii="Calibri" w:hAnsi="Calibri" w:cs="Calibri"/>
                <w:b/>
                <w:sz w:val="20"/>
              </w:rPr>
              <w:t>Montant</w:t>
            </w:r>
          </w:p>
        </w:tc>
        <w:tc>
          <w:tcPr>
            <w:tcW w:w="3456" w:type="dxa"/>
          </w:tcPr>
          <w:p w14:paraId="6B07B2A4" w14:textId="77777777" w:rsidR="001E2D8F" w:rsidRPr="001E2D8F" w:rsidRDefault="001E2D8F" w:rsidP="001E2D8F">
            <w:pPr>
              <w:jc w:val="left"/>
              <w:rPr>
                <w:rFonts w:ascii="Calibri" w:hAnsi="Calibri" w:cs="Calibri"/>
                <w:sz w:val="20"/>
              </w:rPr>
            </w:pPr>
            <w:r w:rsidRPr="001E2D8F">
              <w:rPr>
                <w:rFonts w:ascii="Calibri" w:hAnsi="Calibri" w:cs="Calibri"/>
                <w:b/>
                <w:sz w:val="20"/>
              </w:rPr>
              <w:t>Ressources</w:t>
            </w:r>
          </w:p>
        </w:tc>
        <w:tc>
          <w:tcPr>
            <w:tcW w:w="1584" w:type="dxa"/>
          </w:tcPr>
          <w:p w14:paraId="215D37B7" w14:textId="77777777" w:rsidR="001E2D8F" w:rsidRPr="001E2D8F" w:rsidRDefault="001E2D8F" w:rsidP="001E2D8F">
            <w:pPr>
              <w:jc w:val="left"/>
              <w:rPr>
                <w:rFonts w:ascii="Calibri" w:hAnsi="Calibri" w:cs="Calibri"/>
                <w:sz w:val="20"/>
              </w:rPr>
            </w:pPr>
            <w:r w:rsidRPr="001E2D8F">
              <w:rPr>
                <w:rFonts w:ascii="Calibri" w:hAnsi="Calibri" w:cs="Calibri"/>
                <w:b/>
                <w:sz w:val="20"/>
              </w:rPr>
              <w:t>Montant</w:t>
            </w:r>
          </w:p>
        </w:tc>
      </w:tr>
      <w:tr w:rsidR="001E2D8F" w:rsidRPr="001E2D8F" w14:paraId="368D93D7" w14:textId="77777777" w:rsidTr="001E2D8F">
        <w:tc>
          <w:tcPr>
            <w:tcW w:w="3888" w:type="dxa"/>
          </w:tcPr>
          <w:p w14:paraId="7A9CF580" w14:textId="77777777" w:rsidR="001E2D8F" w:rsidRPr="001E2D8F" w:rsidRDefault="001E2D8F" w:rsidP="001E2D8F">
            <w:pPr>
              <w:jc w:val="left"/>
              <w:rPr>
                <w:rFonts w:ascii="Calibri" w:hAnsi="Calibri" w:cs="Calibri"/>
                <w:sz w:val="20"/>
              </w:rPr>
            </w:pPr>
            <w:r w:rsidRPr="001E2D8F">
              <w:rPr>
                <w:rFonts w:ascii="Calibri" w:hAnsi="Calibri" w:cs="Calibri"/>
                <w:sz w:val="20"/>
              </w:rPr>
              <w:t>Prix des titres</w:t>
            </w:r>
          </w:p>
        </w:tc>
        <w:tc>
          <w:tcPr>
            <w:tcW w:w="1440" w:type="dxa"/>
          </w:tcPr>
          <w:p w14:paraId="728323DC" w14:textId="77777777" w:rsidR="001E2D8F" w:rsidRPr="001E2D8F" w:rsidRDefault="001E2D8F" w:rsidP="001E2D8F">
            <w:pPr>
              <w:jc w:val="left"/>
              <w:rPr>
                <w:rFonts w:ascii="Calibri" w:hAnsi="Calibri" w:cs="Calibri"/>
                <w:sz w:val="20"/>
              </w:rPr>
            </w:pPr>
            <w:r w:rsidRPr="001E2D8F">
              <w:rPr>
                <w:rFonts w:ascii="Calibri" w:hAnsi="Calibri" w:cs="Calibri"/>
                <w:sz w:val="20"/>
              </w:rPr>
              <w:t>1 400 000</w:t>
            </w:r>
          </w:p>
        </w:tc>
        <w:tc>
          <w:tcPr>
            <w:tcW w:w="3456" w:type="dxa"/>
          </w:tcPr>
          <w:p w14:paraId="2C03B293" w14:textId="77777777" w:rsidR="001E2D8F" w:rsidRPr="001E2D8F" w:rsidRDefault="001E2D8F" w:rsidP="001E2D8F">
            <w:pPr>
              <w:jc w:val="left"/>
              <w:rPr>
                <w:rFonts w:ascii="Calibri" w:hAnsi="Calibri" w:cs="Calibri"/>
                <w:sz w:val="20"/>
              </w:rPr>
            </w:pPr>
            <w:r w:rsidRPr="001E2D8F">
              <w:rPr>
                <w:rFonts w:ascii="Calibri" w:hAnsi="Calibri" w:cs="Calibri"/>
                <w:sz w:val="20"/>
              </w:rPr>
              <w:t>Apports</w:t>
            </w:r>
          </w:p>
        </w:tc>
        <w:tc>
          <w:tcPr>
            <w:tcW w:w="1584" w:type="dxa"/>
          </w:tcPr>
          <w:p w14:paraId="24E66A6D" w14:textId="77777777" w:rsidR="001E2D8F" w:rsidRPr="001E2D8F" w:rsidRDefault="001E2D8F" w:rsidP="001E2D8F">
            <w:pPr>
              <w:jc w:val="left"/>
              <w:rPr>
                <w:rFonts w:ascii="Calibri" w:hAnsi="Calibri" w:cs="Calibri"/>
                <w:sz w:val="20"/>
              </w:rPr>
            </w:pPr>
            <w:r w:rsidRPr="001E2D8F">
              <w:rPr>
                <w:rFonts w:ascii="Calibri" w:hAnsi="Calibri" w:cs="Calibri"/>
                <w:sz w:val="20"/>
              </w:rPr>
              <w:t>500 000</w:t>
            </w:r>
          </w:p>
        </w:tc>
      </w:tr>
      <w:tr w:rsidR="001E2D8F" w:rsidRPr="001E2D8F" w14:paraId="1DBB116F" w14:textId="77777777" w:rsidTr="001E2D8F">
        <w:tc>
          <w:tcPr>
            <w:tcW w:w="3888" w:type="dxa"/>
          </w:tcPr>
          <w:p w14:paraId="706D7A71" w14:textId="77777777" w:rsidR="001E2D8F" w:rsidRPr="001E2D8F" w:rsidRDefault="001E2D8F" w:rsidP="001E2D8F">
            <w:pPr>
              <w:jc w:val="left"/>
              <w:rPr>
                <w:rFonts w:ascii="Calibri" w:hAnsi="Calibri" w:cs="Calibri"/>
                <w:sz w:val="20"/>
              </w:rPr>
            </w:pPr>
            <w:r w:rsidRPr="001E2D8F">
              <w:rPr>
                <w:rFonts w:ascii="Calibri" w:hAnsi="Calibri" w:cs="Calibri"/>
                <w:sz w:val="20"/>
              </w:rPr>
              <w:t>Frais et droits</w:t>
            </w:r>
          </w:p>
        </w:tc>
        <w:tc>
          <w:tcPr>
            <w:tcW w:w="1440" w:type="dxa"/>
          </w:tcPr>
          <w:p w14:paraId="32FF2B00" w14:textId="77777777" w:rsidR="001E2D8F" w:rsidRPr="001E2D8F" w:rsidRDefault="001E2D8F" w:rsidP="001E2D8F">
            <w:pPr>
              <w:jc w:val="left"/>
              <w:rPr>
                <w:rFonts w:ascii="Calibri" w:hAnsi="Calibri" w:cs="Calibri"/>
                <w:sz w:val="20"/>
              </w:rPr>
            </w:pPr>
            <w:r w:rsidRPr="001E2D8F">
              <w:rPr>
                <w:rFonts w:ascii="Calibri" w:hAnsi="Calibri" w:cs="Calibri"/>
                <w:sz w:val="20"/>
              </w:rPr>
              <w:t>70 000</w:t>
            </w:r>
          </w:p>
        </w:tc>
        <w:tc>
          <w:tcPr>
            <w:tcW w:w="3456" w:type="dxa"/>
          </w:tcPr>
          <w:p w14:paraId="022172D9" w14:textId="77777777" w:rsidR="001E2D8F" w:rsidRPr="001E2D8F" w:rsidRDefault="001E2D8F" w:rsidP="001E2D8F">
            <w:pPr>
              <w:jc w:val="left"/>
              <w:rPr>
                <w:rFonts w:ascii="Calibri" w:hAnsi="Calibri" w:cs="Calibri"/>
                <w:sz w:val="20"/>
              </w:rPr>
            </w:pPr>
            <w:r w:rsidRPr="001E2D8F">
              <w:rPr>
                <w:rFonts w:ascii="Calibri" w:hAnsi="Calibri" w:cs="Calibri"/>
                <w:sz w:val="20"/>
              </w:rPr>
              <w:t>Crédit vendeur</w:t>
            </w:r>
          </w:p>
        </w:tc>
        <w:tc>
          <w:tcPr>
            <w:tcW w:w="1584" w:type="dxa"/>
          </w:tcPr>
          <w:p w14:paraId="583FAC1F" w14:textId="77777777" w:rsidR="001E2D8F" w:rsidRPr="001E2D8F" w:rsidRDefault="001E2D8F" w:rsidP="001E2D8F">
            <w:pPr>
              <w:jc w:val="left"/>
              <w:rPr>
                <w:rFonts w:ascii="Calibri" w:hAnsi="Calibri" w:cs="Calibri"/>
                <w:sz w:val="20"/>
              </w:rPr>
            </w:pPr>
            <w:r w:rsidRPr="001E2D8F">
              <w:rPr>
                <w:rFonts w:ascii="Calibri" w:hAnsi="Calibri" w:cs="Calibri"/>
                <w:sz w:val="20"/>
              </w:rPr>
              <w:t>200 000</w:t>
            </w:r>
          </w:p>
        </w:tc>
      </w:tr>
      <w:tr w:rsidR="001E2D8F" w:rsidRPr="001E2D8F" w14:paraId="33788C59" w14:textId="77777777" w:rsidTr="001E2D8F">
        <w:tc>
          <w:tcPr>
            <w:tcW w:w="3888" w:type="dxa"/>
          </w:tcPr>
          <w:p w14:paraId="2C989695" w14:textId="77777777" w:rsidR="001E2D8F" w:rsidRPr="001E2D8F" w:rsidRDefault="001E2D8F" w:rsidP="001E2D8F">
            <w:pPr>
              <w:jc w:val="left"/>
              <w:rPr>
                <w:rFonts w:ascii="Calibri" w:hAnsi="Calibri" w:cs="Calibri"/>
                <w:sz w:val="20"/>
              </w:rPr>
            </w:pPr>
            <w:r w:rsidRPr="001E2D8F">
              <w:rPr>
                <w:rFonts w:ascii="Calibri" w:hAnsi="Calibri" w:cs="Calibri"/>
                <w:sz w:val="20"/>
              </w:rPr>
              <w:t>Investissements</w:t>
            </w:r>
          </w:p>
        </w:tc>
        <w:tc>
          <w:tcPr>
            <w:tcW w:w="1440" w:type="dxa"/>
          </w:tcPr>
          <w:p w14:paraId="74D5A200" w14:textId="77777777" w:rsidR="001E2D8F" w:rsidRPr="001E2D8F" w:rsidRDefault="001E2D8F" w:rsidP="001E2D8F">
            <w:pPr>
              <w:jc w:val="left"/>
              <w:rPr>
                <w:rFonts w:ascii="Calibri" w:hAnsi="Calibri" w:cs="Calibri"/>
                <w:sz w:val="20"/>
              </w:rPr>
            </w:pPr>
            <w:r w:rsidRPr="001E2D8F">
              <w:rPr>
                <w:rFonts w:ascii="Calibri" w:hAnsi="Calibri" w:cs="Calibri"/>
                <w:sz w:val="20"/>
              </w:rPr>
              <w:t>120 000</w:t>
            </w:r>
          </w:p>
        </w:tc>
        <w:tc>
          <w:tcPr>
            <w:tcW w:w="3456" w:type="dxa"/>
          </w:tcPr>
          <w:p w14:paraId="42B4CBF7" w14:textId="77777777" w:rsidR="001E2D8F" w:rsidRPr="001E2D8F" w:rsidRDefault="001E2D8F" w:rsidP="001E2D8F">
            <w:pPr>
              <w:jc w:val="left"/>
              <w:rPr>
                <w:rFonts w:ascii="Calibri" w:hAnsi="Calibri" w:cs="Calibri"/>
                <w:sz w:val="20"/>
              </w:rPr>
            </w:pPr>
            <w:r w:rsidRPr="001E2D8F">
              <w:rPr>
                <w:rFonts w:ascii="Calibri" w:hAnsi="Calibri" w:cs="Calibri"/>
                <w:sz w:val="20"/>
              </w:rPr>
              <w:t>Emprunt bancaire</w:t>
            </w:r>
          </w:p>
        </w:tc>
        <w:tc>
          <w:tcPr>
            <w:tcW w:w="1584" w:type="dxa"/>
          </w:tcPr>
          <w:p w14:paraId="2D01A736" w14:textId="77777777" w:rsidR="001E2D8F" w:rsidRPr="001E2D8F" w:rsidRDefault="001E2D8F" w:rsidP="001E2D8F">
            <w:pPr>
              <w:jc w:val="left"/>
              <w:rPr>
                <w:rFonts w:ascii="Calibri" w:hAnsi="Calibri" w:cs="Calibri"/>
                <w:sz w:val="20"/>
              </w:rPr>
            </w:pPr>
            <w:r w:rsidRPr="001E2D8F">
              <w:rPr>
                <w:rFonts w:ascii="Calibri" w:hAnsi="Calibri" w:cs="Calibri"/>
                <w:sz w:val="20"/>
              </w:rPr>
              <w:t>1 080 000</w:t>
            </w:r>
          </w:p>
        </w:tc>
      </w:tr>
      <w:tr w:rsidR="001E2D8F" w:rsidRPr="001E2D8F" w14:paraId="558E886F" w14:textId="77777777" w:rsidTr="001E2D8F">
        <w:tc>
          <w:tcPr>
            <w:tcW w:w="3888" w:type="dxa"/>
          </w:tcPr>
          <w:p w14:paraId="32AD01FB" w14:textId="77777777" w:rsidR="001E2D8F" w:rsidRPr="001E2D8F" w:rsidRDefault="001E2D8F" w:rsidP="001E2D8F">
            <w:pPr>
              <w:jc w:val="left"/>
              <w:rPr>
                <w:rFonts w:ascii="Calibri" w:hAnsi="Calibri" w:cs="Calibri"/>
                <w:sz w:val="20"/>
              </w:rPr>
            </w:pPr>
            <w:r w:rsidRPr="001E2D8F">
              <w:rPr>
                <w:rFonts w:ascii="Calibri" w:hAnsi="Calibri" w:cs="Calibri"/>
                <w:sz w:val="20"/>
              </w:rPr>
              <w:t>Compte courant remboursé</w:t>
            </w:r>
          </w:p>
        </w:tc>
        <w:tc>
          <w:tcPr>
            <w:tcW w:w="1440" w:type="dxa"/>
          </w:tcPr>
          <w:p w14:paraId="3231D73F" w14:textId="77777777" w:rsidR="001E2D8F" w:rsidRPr="001E2D8F" w:rsidRDefault="001E2D8F" w:rsidP="001E2D8F">
            <w:pPr>
              <w:jc w:val="left"/>
              <w:rPr>
                <w:rFonts w:ascii="Calibri" w:hAnsi="Calibri" w:cs="Calibri"/>
                <w:sz w:val="20"/>
              </w:rPr>
            </w:pPr>
            <w:r w:rsidRPr="001E2D8F">
              <w:rPr>
                <w:rFonts w:ascii="Calibri" w:hAnsi="Calibri" w:cs="Calibri"/>
                <w:sz w:val="20"/>
              </w:rPr>
              <w:t>80 000</w:t>
            </w:r>
          </w:p>
        </w:tc>
        <w:tc>
          <w:tcPr>
            <w:tcW w:w="3456" w:type="dxa"/>
          </w:tcPr>
          <w:p w14:paraId="3D1B564B" w14:textId="77777777" w:rsidR="001E2D8F" w:rsidRPr="001E2D8F" w:rsidRDefault="001E2D8F" w:rsidP="001E2D8F">
            <w:pPr>
              <w:jc w:val="left"/>
              <w:rPr>
                <w:rFonts w:ascii="Calibri" w:hAnsi="Calibri" w:cs="Calibri"/>
                <w:sz w:val="20"/>
              </w:rPr>
            </w:pPr>
          </w:p>
        </w:tc>
        <w:tc>
          <w:tcPr>
            <w:tcW w:w="1584" w:type="dxa"/>
          </w:tcPr>
          <w:p w14:paraId="5CCA3CE2" w14:textId="77777777" w:rsidR="001E2D8F" w:rsidRPr="001E2D8F" w:rsidRDefault="001E2D8F" w:rsidP="001E2D8F">
            <w:pPr>
              <w:jc w:val="left"/>
              <w:rPr>
                <w:rFonts w:ascii="Calibri" w:hAnsi="Calibri" w:cs="Calibri"/>
                <w:sz w:val="20"/>
              </w:rPr>
            </w:pPr>
          </w:p>
        </w:tc>
      </w:tr>
      <w:tr w:rsidR="001E2D8F" w:rsidRPr="001E2D8F" w14:paraId="11F6C582" w14:textId="77777777" w:rsidTr="001E2D8F">
        <w:tc>
          <w:tcPr>
            <w:tcW w:w="3888" w:type="dxa"/>
          </w:tcPr>
          <w:p w14:paraId="5814FE76" w14:textId="77777777" w:rsidR="001E2D8F" w:rsidRPr="001E2D8F" w:rsidRDefault="001E2D8F" w:rsidP="001E2D8F">
            <w:pPr>
              <w:jc w:val="left"/>
              <w:rPr>
                <w:rFonts w:ascii="Calibri" w:hAnsi="Calibri" w:cs="Calibri"/>
                <w:sz w:val="20"/>
              </w:rPr>
            </w:pPr>
            <w:r w:rsidRPr="001E2D8F">
              <w:rPr>
                <w:rFonts w:ascii="Calibri" w:hAnsi="Calibri" w:cs="Calibri"/>
                <w:sz w:val="20"/>
              </w:rPr>
              <w:t>Besoin supplémentaire</w:t>
            </w:r>
          </w:p>
        </w:tc>
        <w:tc>
          <w:tcPr>
            <w:tcW w:w="1440" w:type="dxa"/>
          </w:tcPr>
          <w:p w14:paraId="3872E389" w14:textId="77777777" w:rsidR="001E2D8F" w:rsidRPr="001E2D8F" w:rsidRDefault="001E2D8F" w:rsidP="001E2D8F">
            <w:pPr>
              <w:jc w:val="left"/>
              <w:rPr>
                <w:rFonts w:ascii="Calibri" w:hAnsi="Calibri" w:cs="Calibri"/>
                <w:sz w:val="20"/>
              </w:rPr>
            </w:pPr>
            <w:r w:rsidRPr="001E2D8F">
              <w:rPr>
                <w:rFonts w:ascii="Calibri" w:hAnsi="Calibri" w:cs="Calibri"/>
                <w:sz w:val="20"/>
              </w:rPr>
              <w:t>60 000</w:t>
            </w:r>
          </w:p>
        </w:tc>
        <w:tc>
          <w:tcPr>
            <w:tcW w:w="3456" w:type="dxa"/>
          </w:tcPr>
          <w:p w14:paraId="2A8FE37A" w14:textId="77777777" w:rsidR="001E2D8F" w:rsidRPr="001E2D8F" w:rsidRDefault="001E2D8F" w:rsidP="001E2D8F">
            <w:pPr>
              <w:jc w:val="left"/>
              <w:rPr>
                <w:rFonts w:ascii="Calibri" w:hAnsi="Calibri" w:cs="Calibri"/>
                <w:sz w:val="20"/>
              </w:rPr>
            </w:pPr>
          </w:p>
        </w:tc>
        <w:tc>
          <w:tcPr>
            <w:tcW w:w="1584" w:type="dxa"/>
          </w:tcPr>
          <w:p w14:paraId="6D167797" w14:textId="77777777" w:rsidR="001E2D8F" w:rsidRPr="001E2D8F" w:rsidRDefault="001E2D8F" w:rsidP="001E2D8F">
            <w:pPr>
              <w:jc w:val="left"/>
              <w:rPr>
                <w:rFonts w:ascii="Calibri" w:hAnsi="Calibri" w:cs="Calibri"/>
                <w:sz w:val="20"/>
              </w:rPr>
            </w:pPr>
          </w:p>
        </w:tc>
      </w:tr>
      <w:tr w:rsidR="001E2D8F" w:rsidRPr="001E2D8F" w14:paraId="16B7CDCC" w14:textId="77777777" w:rsidTr="001E2D8F">
        <w:tc>
          <w:tcPr>
            <w:tcW w:w="3888" w:type="dxa"/>
          </w:tcPr>
          <w:p w14:paraId="4303C433" w14:textId="77777777" w:rsidR="001E2D8F" w:rsidRPr="001E2D8F" w:rsidRDefault="001E2D8F" w:rsidP="001E2D8F">
            <w:pPr>
              <w:jc w:val="left"/>
              <w:rPr>
                <w:rFonts w:ascii="Calibri" w:hAnsi="Calibri" w:cs="Calibri"/>
                <w:sz w:val="20"/>
              </w:rPr>
            </w:pPr>
            <w:r w:rsidRPr="001E2D8F">
              <w:rPr>
                <w:rFonts w:ascii="Calibri" w:hAnsi="Calibri" w:cs="Calibri"/>
                <w:sz w:val="20"/>
              </w:rPr>
              <w:t>Réserve supplémentaire</w:t>
            </w:r>
          </w:p>
        </w:tc>
        <w:tc>
          <w:tcPr>
            <w:tcW w:w="1440" w:type="dxa"/>
          </w:tcPr>
          <w:p w14:paraId="028AA64F" w14:textId="77777777" w:rsidR="001E2D8F" w:rsidRPr="001E2D8F" w:rsidRDefault="001E2D8F" w:rsidP="001E2D8F">
            <w:pPr>
              <w:jc w:val="left"/>
              <w:rPr>
                <w:rFonts w:ascii="Calibri" w:hAnsi="Calibri" w:cs="Calibri"/>
                <w:sz w:val="20"/>
              </w:rPr>
            </w:pPr>
            <w:r w:rsidRPr="001E2D8F">
              <w:rPr>
                <w:rFonts w:ascii="Calibri" w:hAnsi="Calibri" w:cs="Calibri"/>
                <w:sz w:val="20"/>
              </w:rPr>
              <w:t>50 000</w:t>
            </w:r>
          </w:p>
        </w:tc>
        <w:tc>
          <w:tcPr>
            <w:tcW w:w="3456" w:type="dxa"/>
          </w:tcPr>
          <w:p w14:paraId="1C1AC6A5" w14:textId="77777777" w:rsidR="001E2D8F" w:rsidRPr="001E2D8F" w:rsidRDefault="001E2D8F" w:rsidP="001E2D8F">
            <w:pPr>
              <w:jc w:val="left"/>
              <w:rPr>
                <w:rFonts w:ascii="Calibri" w:hAnsi="Calibri" w:cs="Calibri"/>
                <w:sz w:val="20"/>
              </w:rPr>
            </w:pPr>
          </w:p>
        </w:tc>
        <w:tc>
          <w:tcPr>
            <w:tcW w:w="1584" w:type="dxa"/>
          </w:tcPr>
          <w:p w14:paraId="4A436649" w14:textId="77777777" w:rsidR="001E2D8F" w:rsidRPr="001E2D8F" w:rsidRDefault="001E2D8F" w:rsidP="001E2D8F">
            <w:pPr>
              <w:jc w:val="left"/>
              <w:rPr>
                <w:rFonts w:ascii="Calibri" w:hAnsi="Calibri" w:cs="Calibri"/>
                <w:sz w:val="20"/>
              </w:rPr>
            </w:pPr>
          </w:p>
        </w:tc>
      </w:tr>
      <w:tr w:rsidR="001E2D8F" w:rsidRPr="001E2D8F" w14:paraId="72A7F85E" w14:textId="77777777" w:rsidTr="001E2D8F">
        <w:tc>
          <w:tcPr>
            <w:tcW w:w="3888" w:type="dxa"/>
          </w:tcPr>
          <w:p w14:paraId="245EC555" w14:textId="77777777" w:rsidR="001E2D8F" w:rsidRPr="001E2D8F" w:rsidRDefault="001E2D8F" w:rsidP="001E2D8F">
            <w:pPr>
              <w:jc w:val="left"/>
              <w:rPr>
                <w:rFonts w:ascii="Calibri" w:hAnsi="Calibri" w:cs="Calibri"/>
                <w:sz w:val="20"/>
              </w:rPr>
            </w:pPr>
            <w:r w:rsidRPr="001E2D8F">
              <w:rPr>
                <w:rFonts w:ascii="Calibri" w:hAnsi="Calibri" w:cs="Calibri"/>
                <w:sz w:val="20"/>
              </w:rPr>
              <w:t>Total</w:t>
            </w:r>
          </w:p>
        </w:tc>
        <w:tc>
          <w:tcPr>
            <w:tcW w:w="1440" w:type="dxa"/>
          </w:tcPr>
          <w:p w14:paraId="62C50686" w14:textId="77777777" w:rsidR="001E2D8F" w:rsidRPr="001E2D8F" w:rsidRDefault="001E2D8F" w:rsidP="001E2D8F">
            <w:pPr>
              <w:jc w:val="left"/>
              <w:rPr>
                <w:rFonts w:ascii="Calibri" w:hAnsi="Calibri" w:cs="Calibri"/>
                <w:sz w:val="20"/>
              </w:rPr>
            </w:pPr>
            <w:r w:rsidRPr="001E2D8F">
              <w:rPr>
                <w:rFonts w:ascii="Calibri" w:hAnsi="Calibri" w:cs="Calibri"/>
                <w:sz w:val="20"/>
              </w:rPr>
              <w:t>1 780 000</w:t>
            </w:r>
          </w:p>
        </w:tc>
        <w:tc>
          <w:tcPr>
            <w:tcW w:w="3456" w:type="dxa"/>
          </w:tcPr>
          <w:p w14:paraId="3B9828CF" w14:textId="77777777" w:rsidR="001E2D8F" w:rsidRPr="001E2D8F" w:rsidRDefault="001E2D8F" w:rsidP="001E2D8F">
            <w:pPr>
              <w:jc w:val="left"/>
              <w:rPr>
                <w:rFonts w:ascii="Calibri" w:hAnsi="Calibri" w:cs="Calibri"/>
                <w:sz w:val="20"/>
              </w:rPr>
            </w:pPr>
            <w:r w:rsidRPr="001E2D8F">
              <w:rPr>
                <w:rFonts w:ascii="Calibri" w:hAnsi="Calibri" w:cs="Calibri"/>
                <w:sz w:val="20"/>
              </w:rPr>
              <w:t>Total</w:t>
            </w:r>
          </w:p>
        </w:tc>
        <w:tc>
          <w:tcPr>
            <w:tcW w:w="1584" w:type="dxa"/>
          </w:tcPr>
          <w:p w14:paraId="576256C7" w14:textId="77777777" w:rsidR="001E2D8F" w:rsidRPr="001E2D8F" w:rsidRDefault="001E2D8F" w:rsidP="001E2D8F">
            <w:pPr>
              <w:jc w:val="left"/>
              <w:rPr>
                <w:rFonts w:ascii="Calibri" w:hAnsi="Calibri" w:cs="Calibri"/>
                <w:sz w:val="20"/>
              </w:rPr>
            </w:pPr>
            <w:r w:rsidRPr="001E2D8F">
              <w:rPr>
                <w:rFonts w:ascii="Calibri" w:hAnsi="Calibri" w:cs="Calibri"/>
                <w:sz w:val="20"/>
              </w:rPr>
              <w:t>1 780 000</w:t>
            </w:r>
          </w:p>
        </w:tc>
      </w:tr>
    </w:tbl>
    <w:p w14:paraId="30F01374" w14:textId="77777777" w:rsidR="001E2D8F" w:rsidRDefault="001E2D8F" w:rsidP="001E2D8F">
      <w:pPr>
        <w:spacing w:after="0" w:line="240" w:lineRule="auto"/>
      </w:pPr>
    </w:p>
    <w:p w14:paraId="052712CD" w14:textId="25D4660B" w:rsidR="001E2D8F" w:rsidRDefault="001E2D8F" w:rsidP="001E2D8F">
      <w:pPr>
        <w:spacing w:after="0" w:line="240" w:lineRule="auto"/>
      </w:pPr>
      <w:r>
        <w:t>L’emprunt nécessaire est de 1 780 000 − 500 000 − 200 000 = 1 080 000</w:t>
      </w:r>
      <w:r>
        <w:t> €</w:t>
      </w:r>
      <w:r>
        <w:t>. Les 600 000</w:t>
      </w:r>
      <w:r>
        <w:t> €</w:t>
      </w:r>
      <w:r>
        <w:t xml:space="preserve"> de besoin existant ne sont pas ajoutés, car leur financement est maintenu. Les 150 000</w:t>
      </w:r>
      <w:r>
        <w:t> €</w:t>
      </w:r>
      <w:r>
        <w:t xml:space="preserve"> de trésorerie de la cible ne sont pas une ressource de paiement disponible pour le repreneur dans ce cas.</w:t>
      </w:r>
    </w:p>
    <w:p w14:paraId="4708E4CA" w14:textId="77777777" w:rsidR="001E2D8F" w:rsidRDefault="001E2D8F" w:rsidP="001E2D8F">
      <w:pPr>
        <w:spacing w:after="0" w:line="240" w:lineRule="auto"/>
      </w:pPr>
      <w:r>
        <w:t>Ce tableau présente une vision globale de l’opération. Les flux doivent ensuite être répartis entre le repreneur ou sa holding et la cible. Des apports dans la cible peuvent être nécessaires pour financer ses investissements et sa croissance.</w:t>
      </w:r>
    </w:p>
    <w:p w14:paraId="6DDB9264" w14:textId="77777777" w:rsidR="001E2D8F" w:rsidRDefault="001E2D8F" w:rsidP="001E2D8F">
      <w:pPr>
        <w:spacing w:after="0" w:line="240" w:lineRule="auto"/>
      </w:pPr>
    </w:p>
    <w:p w14:paraId="3B3DFA91" w14:textId="5AD66488" w:rsidR="001E2D8F" w:rsidRDefault="001E2D8F" w:rsidP="001E2D8F">
      <w:pPr>
        <w:spacing w:after="0" w:line="240" w:lineRule="auto"/>
      </w:pPr>
    </w:p>
    <w:p w14:paraId="53C256B4" w14:textId="77777777" w:rsidR="001E2D8F" w:rsidRDefault="001E2D8F" w:rsidP="001E2D8F">
      <w:pPr>
        <w:pStyle w:val="Titre1"/>
        <w:spacing w:before="0" w:after="0" w:line="240" w:lineRule="auto"/>
      </w:pPr>
      <w:r>
        <w:lastRenderedPageBreak/>
        <w:t>13- Méthode de traitement et points de vigilance</w:t>
      </w:r>
    </w:p>
    <w:p w14:paraId="618522E9" w14:textId="77777777" w:rsidR="001E2D8F" w:rsidRDefault="001E2D8F" w:rsidP="001E2D8F">
      <w:pPr>
        <w:pStyle w:val="Titre2"/>
        <w:spacing w:before="0" w:after="0" w:line="240" w:lineRule="auto"/>
      </w:pPr>
      <w:r>
        <w:t>13.1- Apprécier le cas Mécanor Services</w:t>
      </w:r>
    </w:p>
    <w:p w14:paraId="4B993796" w14:textId="3CC51A12" w:rsidR="001E2D8F" w:rsidRDefault="001E2D8F" w:rsidP="001E2D8F">
      <w:pPr>
        <w:spacing w:after="0" w:line="240" w:lineRule="auto"/>
      </w:pPr>
      <w:r>
        <w:t>Le prix des titres de 1 400 000</w:t>
      </w:r>
      <w:r>
        <w:t> €</w:t>
      </w:r>
      <w:r>
        <w:t xml:space="preserve"> se situe dans la fourchette calculée avec la convention retenue. Cela constitue un élément de cohérence, mais ne prouve pas que la reprise est finançable. L’actif net corrigé de 890 000</w:t>
      </w:r>
      <w:r>
        <w:t> €</w:t>
      </w:r>
      <w:r>
        <w:t xml:space="preserve"> est sensiblement inférieur</w:t>
      </w:r>
      <w:r>
        <w:t> :</w:t>
      </w:r>
      <w:r>
        <w:t xml:space="preserve"> l’écart repose sur la rentabilité future de l’exploitation.</w:t>
      </w:r>
    </w:p>
    <w:p w14:paraId="4FF64165" w14:textId="581D8DE4" w:rsidR="001E2D8F" w:rsidRDefault="001E2D8F" w:rsidP="001E2D8F">
      <w:pPr>
        <w:spacing w:after="0" w:line="240" w:lineRule="auto"/>
      </w:pPr>
      <w:r>
        <w:t>Trois contrôles prioritaires sont la pérennité des contrats clients, la réalité du coût de remplacement du dirigeant et la génération de trésorerie après investissements. Le budget doit tester les échéances de l’emprunt bancaire et du crédit vendeur. Leur durée, leur taux et leur calendrier ne sont pas fournis</w:t>
      </w:r>
      <w:r>
        <w:t> :</w:t>
      </w:r>
      <w:r>
        <w:t xml:space="preserve"> la capacité de remboursement ne peut donc pas être définitivement conclue.</w:t>
      </w:r>
    </w:p>
    <w:p w14:paraId="3537999B" w14:textId="77777777" w:rsidR="001E2D8F" w:rsidRDefault="001E2D8F" w:rsidP="001E2D8F">
      <w:pPr>
        <w:pStyle w:val="Titre2"/>
        <w:spacing w:before="0" w:after="0" w:line="240" w:lineRule="auto"/>
      </w:pPr>
      <w:r>
        <w:t>13.2- Rédiger une réponse à une question d’examen</w:t>
      </w:r>
    </w:p>
    <w:p w14:paraId="310CA7F3" w14:textId="29FFE7B6"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Identifier la décision attendue et le périmètre</w:t>
      </w:r>
      <w:r>
        <w:rPr>
          <w:lang w:val="fr-FR"/>
        </w:rPr>
        <w:t> :</w:t>
      </w:r>
      <w:r w:rsidRPr="001E2D8F">
        <w:rPr>
          <w:lang w:val="fr-FR"/>
        </w:rPr>
        <w:t xml:space="preserve"> fonds, titres, activité ou financement.</w:t>
      </w:r>
    </w:p>
    <w:p w14:paraId="4D93EA8C"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Relever les données utiles et annoncer les hypothèses retenues.</w:t>
      </w:r>
    </w:p>
    <w:p w14:paraId="3E99CB76"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Présenter les formules, les unités et les calculs, sans arrondir trop tôt.</w:t>
      </w:r>
    </w:p>
    <w:p w14:paraId="2D1F3619"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Expliquer le sens économique des résultats et les limites des données.</w:t>
      </w:r>
    </w:p>
    <w:p w14:paraId="216B3AD2" w14:textId="7777777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Formuler une recommandation conditionnelle et un contrôle concret.</w:t>
      </w:r>
    </w:p>
    <w:p w14:paraId="29BC46AF" w14:textId="3A34FEB2" w:rsidR="001E2D8F" w:rsidRDefault="001E2D8F" w:rsidP="001E2D8F">
      <w:pPr>
        <w:spacing w:after="0" w:line="240" w:lineRule="auto"/>
      </w:pPr>
      <w:r>
        <w:t>Exemple de recommandation</w:t>
      </w:r>
      <w:r>
        <w:t> :</w:t>
      </w:r>
      <w:r>
        <w:t xml:space="preserve"> </w:t>
      </w:r>
      <w:r>
        <w:t>« </w:t>
      </w:r>
      <w:r>
        <w:t>Le prix paraît cohérent avec la rentabilité normalisée et les multiples retenus. La poursuite du projet suppose toutefois la confirmation des contrats majeurs et un budget de trésorerie démontrant la couverture des échéances.</w:t>
      </w:r>
      <w:r>
        <w:t> »</w:t>
      </w:r>
    </w:p>
    <w:p w14:paraId="36F06A7C" w14:textId="77777777" w:rsidR="001E2D8F" w:rsidRDefault="001E2D8F" w:rsidP="001E2D8F">
      <w:pPr>
        <w:pStyle w:val="Titre2"/>
        <w:spacing w:before="0" w:after="0" w:line="240" w:lineRule="auto"/>
      </w:pPr>
      <w:r>
        <w:t>13.3- Erreurs à éviter</w:t>
      </w:r>
    </w:p>
    <w:tbl>
      <w:tblPr>
        <w:tblStyle w:val="Grilledutableau"/>
        <w:tblW w:w="0" w:type="auto"/>
        <w:tblLayout w:type="fixed"/>
        <w:tblLook w:val="04A0" w:firstRow="1" w:lastRow="0" w:firstColumn="1" w:lastColumn="0" w:noHBand="0" w:noVBand="1"/>
      </w:tblPr>
      <w:tblGrid>
        <w:gridCol w:w="2995"/>
        <w:gridCol w:w="7373"/>
      </w:tblGrid>
      <w:tr w:rsidR="001E2D8F" w:rsidRPr="001E2D8F" w14:paraId="7F20B49F" w14:textId="77777777" w:rsidTr="001E2D8F">
        <w:trPr>
          <w:tblHeader/>
        </w:trPr>
        <w:tc>
          <w:tcPr>
            <w:tcW w:w="2995" w:type="dxa"/>
          </w:tcPr>
          <w:p w14:paraId="4031F8C1" w14:textId="77777777" w:rsidR="001E2D8F" w:rsidRPr="001E2D8F" w:rsidRDefault="001E2D8F" w:rsidP="001E2D8F">
            <w:pPr>
              <w:jc w:val="left"/>
              <w:rPr>
                <w:rFonts w:ascii="Calibri" w:hAnsi="Calibri" w:cs="Calibri"/>
                <w:sz w:val="20"/>
              </w:rPr>
            </w:pPr>
            <w:r w:rsidRPr="001E2D8F">
              <w:rPr>
                <w:rFonts w:ascii="Calibri" w:hAnsi="Calibri" w:cs="Calibri"/>
                <w:b/>
                <w:sz w:val="20"/>
              </w:rPr>
              <w:t>Erreur</w:t>
            </w:r>
          </w:p>
        </w:tc>
        <w:tc>
          <w:tcPr>
            <w:tcW w:w="7373" w:type="dxa"/>
          </w:tcPr>
          <w:p w14:paraId="5820D88E" w14:textId="77777777" w:rsidR="001E2D8F" w:rsidRPr="001E2D8F" w:rsidRDefault="001E2D8F" w:rsidP="001E2D8F">
            <w:pPr>
              <w:jc w:val="left"/>
              <w:rPr>
                <w:rFonts w:ascii="Calibri" w:hAnsi="Calibri" w:cs="Calibri"/>
                <w:sz w:val="20"/>
              </w:rPr>
            </w:pPr>
            <w:r w:rsidRPr="001E2D8F">
              <w:rPr>
                <w:rFonts w:ascii="Calibri" w:hAnsi="Calibri" w:cs="Calibri"/>
                <w:b/>
                <w:sz w:val="20"/>
              </w:rPr>
              <w:t>Conséquence ou correction</w:t>
            </w:r>
          </w:p>
        </w:tc>
      </w:tr>
      <w:tr w:rsidR="001E2D8F" w:rsidRPr="001E2D8F" w14:paraId="07BCFC35" w14:textId="77777777" w:rsidTr="001E2D8F">
        <w:tc>
          <w:tcPr>
            <w:tcW w:w="2995" w:type="dxa"/>
          </w:tcPr>
          <w:p w14:paraId="24BE2D54" w14:textId="77777777" w:rsidR="001E2D8F" w:rsidRPr="001E2D8F" w:rsidRDefault="001E2D8F" w:rsidP="001E2D8F">
            <w:pPr>
              <w:jc w:val="left"/>
              <w:rPr>
                <w:rFonts w:ascii="Calibri" w:hAnsi="Calibri" w:cs="Calibri"/>
                <w:sz w:val="20"/>
              </w:rPr>
            </w:pPr>
            <w:r w:rsidRPr="001E2D8F">
              <w:rPr>
                <w:rFonts w:ascii="Calibri" w:hAnsi="Calibri" w:cs="Calibri"/>
                <w:sz w:val="20"/>
              </w:rPr>
              <w:t>Assimiler résultat et trésorerie</w:t>
            </w:r>
          </w:p>
        </w:tc>
        <w:tc>
          <w:tcPr>
            <w:tcW w:w="7373" w:type="dxa"/>
          </w:tcPr>
          <w:p w14:paraId="2EDDA2D8" w14:textId="77777777" w:rsidR="001E2D8F" w:rsidRPr="001E2D8F" w:rsidRDefault="001E2D8F" w:rsidP="001E2D8F">
            <w:pPr>
              <w:jc w:val="left"/>
              <w:rPr>
                <w:rFonts w:ascii="Calibri" w:hAnsi="Calibri" w:cs="Calibri"/>
                <w:sz w:val="20"/>
              </w:rPr>
            </w:pPr>
            <w:r w:rsidRPr="001E2D8F">
              <w:rPr>
                <w:rFonts w:ascii="Calibri" w:hAnsi="Calibri" w:cs="Calibri"/>
                <w:sz w:val="20"/>
              </w:rPr>
              <w:t>Intégrer délais, investissements, impôts et remboursements.</w:t>
            </w:r>
          </w:p>
        </w:tc>
      </w:tr>
      <w:tr w:rsidR="001E2D8F" w:rsidRPr="001E2D8F" w14:paraId="3158E37A" w14:textId="77777777" w:rsidTr="001E2D8F">
        <w:tc>
          <w:tcPr>
            <w:tcW w:w="2995" w:type="dxa"/>
          </w:tcPr>
          <w:p w14:paraId="78243885" w14:textId="77777777" w:rsidR="001E2D8F" w:rsidRPr="001E2D8F" w:rsidRDefault="001E2D8F" w:rsidP="001E2D8F">
            <w:pPr>
              <w:jc w:val="left"/>
              <w:rPr>
                <w:rFonts w:ascii="Calibri" w:hAnsi="Calibri" w:cs="Calibri"/>
                <w:sz w:val="20"/>
              </w:rPr>
            </w:pPr>
            <w:r w:rsidRPr="001E2D8F">
              <w:rPr>
                <w:rFonts w:ascii="Calibri" w:hAnsi="Calibri" w:cs="Calibri"/>
                <w:sz w:val="20"/>
              </w:rPr>
              <w:t>Confondre activité et titres</w:t>
            </w:r>
          </w:p>
        </w:tc>
        <w:tc>
          <w:tcPr>
            <w:tcW w:w="7373" w:type="dxa"/>
          </w:tcPr>
          <w:p w14:paraId="20993A28" w14:textId="77777777" w:rsidR="001E2D8F" w:rsidRPr="001E2D8F" w:rsidRDefault="001E2D8F" w:rsidP="001E2D8F">
            <w:pPr>
              <w:jc w:val="left"/>
              <w:rPr>
                <w:rFonts w:ascii="Calibri" w:hAnsi="Calibri" w:cs="Calibri"/>
                <w:sz w:val="20"/>
              </w:rPr>
            </w:pPr>
            <w:r w:rsidRPr="001E2D8F">
              <w:rPr>
                <w:rFonts w:ascii="Calibri" w:hAnsi="Calibri" w:cs="Calibri"/>
                <w:sz w:val="20"/>
              </w:rPr>
              <w:t>Effectuer le passage par la dette nette selon la convention.</w:t>
            </w:r>
          </w:p>
        </w:tc>
      </w:tr>
      <w:tr w:rsidR="001E2D8F" w:rsidRPr="001E2D8F" w14:paraId="34E434CD" w14:textId="77777777" w:rsidTr="001E2D8F">
        <w:tc>
          <w:tcPr>
            <w:tcW w:w="2995" w:type="dxa"/>
          </w:tcPr>
          <w:p w14:paraId="3A1B9C15" w14:textId="77777777" w:rsidR="001E2D8F" w:rsidRPr="001E2D8F" w:rsidRDefault="001E2D8F" w:rsidP="001E2D8F">
            <w:pPr>
              <w:jc w:val="left"/>
              <w:rPr>
                <w:rFonts w:ascii="Calibri" w:hAnsi="Calibri" w:cs="Calibri"/>
                <w:sz w:val="20"/>
              </w:rPr>
            </w:pPr>
            <w:r w:rsidRPr="001E2D8F">
              <w:rPr>
                <w:rFonts w:ascii="Calibri" w:hAnsi="Calibri" w:cs="Calibri"/>
                <w:sz w:val="20"/>
              </w:rPr>
              <w:t>Retirer deux fois une même dette</w:t>
            </w:r>
          </w:p>
        </w:tc>
        <w:tc>
          <w:tcPr>
            <w:tcW w:w="7373" w:type="dxa"/>
          </w:tcPr>
          <w:p w14:paraId="503FA686" w14:textId="77777777" w:rsidR="001E2D8F" w:rsidRPr="001E2D8F" w:rsidRDefault="001E2D8F" w:rsidP="001E2D8F">
            <w:pPr>
              <w:jc w:val="left"/>
              <w:rPr>
                <w:rFonts w:ascii="Calibri" w:hAnsi="Calibri" w:cs="Calibri"/>
                <w:sz w:val="20"/>
              </w:rPr>
            </w:pPr>
            <w:r w:rsidRPr="001E2D8F">
              <w:rPr>
                <w:rFonts w:ascii="Calibri" w:hAnsi="Calibri" w:cs="Calibri"/>
                <w:sz w:val="20"/>
              </w:rPr>
              <w:t>Vérifier le périmètre des calculs et du prix.</w:t>
            </w:r>
          </w:p>
        </w:tc>
      </w:tr>
      <w:tr w:rsidR="001E2D8F" w:rsidRPr="001E2D8F" w14:paraId="77D50D4F" w14:textId="77777777" w:rsidTr="001E2D8F">
        <w:tc>
          <w:tcPr>
            <w:tcW w:w="2995" w:type="dxa"/>
          </w:tcPr>
          <w:p w14:paraId="31CA794F" w14:textId="77777777" w:rsidR="001E2D8F" w:rsidRPr="001E2D8F" w:rsidRDefault="001E2D8F" w:rsidP="001E2D8F">
            <w:pPr>
              <w:jc w:val="left"/>
              <w:rPr>
                <w:rFonts w:ascii="Calibri" w:hAnsi="Calibri" w:cs="Calibri"/>
                <w:sz w:val="20"/>
              </w:rPr>
            </w:pPr>
            <w:r w:rsidRPr="001E2D8F">
              <w:rPr>
                <w:rFonts w:ascii="Calibri" w:hAnsi="Calibri" w:cs="Calibri"/>
                <w:sz w:val="20"/>
              </w:rPr>
              <w:t>Financer deux fois le besoin existant</w:t>
            </w:r>
          </w:p>
        </w:tc>
        <w:tc>
          <w:tcPr>
            <w:tcW w:w="7373" w:type="dxa"/>
          </w:tcPr>
          <w:p w14:paraId="3F9CA790" w14:textId="77777777" w:rsidR="001E2D8F" w:rsidRPr="001E2D8F" w:rsidRDefault="001E2D8F" w:rsidP="001E2D8F">
            <w:pPr>
              <w:jc w:val="left"/>
              <w:rPr>
                <w:rFonts w:ascii="Calibri" w:hAnsi="Calibri" w:cs="Calibri"/>
                <w:sz w:val="20"/>
              </w:rPr>
            </w:pPr>
            <w:r w:rsidRPr="001E2D8F">
              <w:rPr>
                <w:rFonts w:ascii="Calibri" w:hAnsi="Calibri" w:cs="Calibri"/>
                <w:sz w:val="20"/>
              </w:rPr>
              <w:t>Identifier les ressources réellement maintenues.</w:t>
            </w:r>
          </w:p>
        </w:tc>
      </w:tr>
      <w:tr w:rsidR="001E2D8F" w:rsidRPr="001E2D8F" w14:paraId="2F08B153" w14:textId="77777777" w:rsidTr="001E2D8F">
        <w:tc>
          <w:tcPr>
            <w:tcW w:w="2995" w:type="dxa"/>
          </w:tcPr>
          <w:p w14:paraId="436C9346" w14:textId="77777777" w:rsidR="001E2D8F" w:rsidRPr="001E2D8F" w:rsidRDefault="001E2D8F" w:rsidP="001E2D8F">
            <w:pPr>
              <w:jc w:val="left"/>
              <w:rPr>
                <w:rFonts w:ascii="Calibri" w:hAnsi="Calibri" w:cs="Calibri"/>
                <w:sz w:val="20"/>
              </w:rPr>
            </w:pPr>
            <w:r w:rsidRPr="001E2D8F">
              <w:rPr>
                <w:rFonts w:ascii="Calibri" w:hAnsi="Calibri" w:cs="Calibri"/>
                <w:sz w:val="20"/>
              </w:rPr>
              <w:t>Appliquer tous les délais au chiffre d’affaires</w:t>
            </w:r>
          </w:p>
        </w:tc>
        <w:tc>
          <w:tcPr>
            <w:tcW w:w="7373" w:type="dxa"/>
          </w:tcPr>
          <w:p w14:paraId="375ABCC5" w14:textId="77777777" w:rsidR="001E2D8F" w:rsidRPr="001E2D8F" w:rsidRDefault="001E2D8F" w:rsidP="001E2D8F">
            <w:pPr>
              <w:jc w:val="left"/>
              <w:rPr>
                <w:rFonts w:ascii="Calibri" w:hAnsi="Calibri" w:cs="Calibri"/>
                <w:sz w:val="20"/>
              </w:rPr>
            </w:pPr>
            <w:r w:rsidRPr="001E2D8F">
              <w:rPr>
                <w:rFonts w:ascii="Calibri" w:hAnsi="Calibri" w:cs="Calibri"/>
                <w:sz w:val="20"/>
              </w:rPr>
              <w:t>Employer les bases propres aux stocks, clients et fournisseurs.</w:t>
            </w:r>
          </w:p>
        </w:tc>
      </w:tr>
      <w:tr w:rsidR="001E2D8F" w:rsidRPr="001E2D8F" w14:paraId="328694A7" w14:textId="77777777" w:rsidTr="001E2D8F">
        <w:tc>
          <w:tcPr>
            <w:tcW w:w="2995" w:type="dxa"/>
          </w:tcPr>
          <w:p w14:paraId="7B879C3C" w14:textId="77777777" w:rsidR="001E2D8F" w:rsidRPr="001E2D8F" w:rsidRDefault="001E2D8F" w:rsidP="001E2D8F">
            <w:pPr>
              <w:jc w:val="left"/>
              <w:rPr>
                <w:rFonts w:ascii="Calibri" w:hAnsi="Calibri" w:cs="Calibri"/>
                <w:sz w:val="20"/>
              </w:rPr>
            </w:pPr>
            <w:r w:rsidRPr="001E2D8F">
              <w:rPr>
                <w:rFonts w:ascii="Calibri" w:hAnsi="Calibri" w:cs="Calibri"/>
                <w:sz w:val="20"/>
              </w:rPr>
              <w:t>Retenir le résultat publié sans analyse</w:t>
            </w:r>
          </w:p>
        </w:tc>
        <w:tc>
          <w:tcPr>
            <w:tcW w:w="7373" w:type="dxa"/>
          </w:tcPr>
          <w:p w14:paraId="1C8196E5" w14:textId="77777777" w:rsidR="001E2D8F" w:rsidRPr="001E2D8F" w:rsidRDefault="001E2D8F" w:rsidP="001E2D8F">
            <w:pPr>
              <w:jc w:val="left"/>
              <w:rPr>
                <w:rFonts w:ascii="Calibri" w:hAnsi="Calibri" w:cs="Calibri"/>
                <w:sz w:val="20"/>
              </w:rPr>
            </w:pPr>
            <w:r w:rsidRPr="001E2D8F">
              <w:rPr>
                <w:rFonts w:ascii="Calibri" w:hAnsi="Calibri" w:cs="Calibri"/>
                <w:sz w:val="20"/>
              </w:rPr>
              <w:t>Documenter les éléments non récurrents et les coûts manquants.</w:t>
            </w:r>
          </w:p>
        </w:tc>
      </w:tr>
      <w:tr w:rsidR="001E2D8F" w:rsidRPr="001E2D8F" w14:paraId="375F91AE" w14:textId="77777777" w:rsidTr="001E2D8F">
        <w:tc>
          <w:tcPr>
            <w:tcW w:w="2995" w:type="dxa"/>
          </w:tcPr>
          <w:p w14:paraId="70018CC1" w14:textId="77777777" w:rsidR="001E2D8F" w:rsidRPr="001E2D8F" w:rsidRDefault="001E2D8F" w:rsidP="001E2D8F">
            <w:pPr>
              <w:jc w:val="left"/>
              <w:rPr>
                <w:rFonts w:ascii="Calibri" w:hAnsi="Calibri" w:cs="Calibri"/>
                <w:sz w:val="20"/>
              </w:rPr>
            </w:pPr>
            <w:r w:rsidRPr="001E2D8F">
              <w:rPr>
                <w:rFonts w:ascii="Calibri" w:hAnsi="Calibri" w:cs="Calibri"/>
                <w:sz w:val="20"/>
              </w:rPr>
              <w:t>Traiter un ratio comme une norme absolue</w:t>
            </w:r>
          </w:p>
        </w:tc>
        <w:tc>
          <w:tcPr>
            <w:tcW w:w="7373" w:type="dxa"/>
          </w:tcPr>
          <w:p w14:paraId="0681A9E6" w14:textId="77777777" w:rsidR="001E2D8F" w:rsidRPr="001E2D8F" w:rsidRDefault="001E2D8F" w:rsidP="001E2D8F">
            <w:pPr>
              <w:jc w:val="left"/>
              <w:rPr>
                <w:rFonts w:ascii="Calibri" w:hAnsi="Calibri" w:cs="Calibri"/>
                <w:sz w:val="20"/>
              </w:rPr>
            </w:pPr>
            <w:r w:rsidRPr="001E2D8F">
              <w:rPr>
                <w:rFonts w:ascii="Calibri" w:hAnsi="Calibri" w:cs="Calibri"/>
                <w:sz w:val="20"/>
              </w:rPr>
              <w:t>Comparer dans le temps et avec une activité comparable.</w:t>
            </w:r>
          </w:p>
        </w:tc>
      </w:tr>
      <w:tr w:rsidR="001E2D8F" w:rsidRPr="001E2D8F" w14:paraId="72B83037" w14:textId="77777777" w:rsidTr="001E2D8F">
        <w:tc>
          <w:tcPr>
            <w:tcW w:w="2995" w:type="dxa"/>
          </w:tcPr>
          <w:p w14:paraId="686491BB" w14:textId="77777777" w:rsidR="001E2D8F" w:rsidRPr="001E2D8F" w:rsidRDefault="001E2D8F" w:rsidP="001E2D8F">
            <w:pPr>
              <w:jc w:val="left"/>
              <w:rPr>
                <w:rFonts w:ascii="Calibri" w:hAnsi="Calibri" w:cs="Calibri"/>
                <w:sz w:val="20"/>
              </w:rPr>
            </w:pPr>
            <w:r w:rsidRPr="001E2D8F">
              <w:rPr>
                <w:rFonts w:ascii="Calibri" w:hAnsi="Calibri" w:cs="Calibri"/>
                <w:sz w:val="20"/>
              </w:rPr>
              <w:t>Moyenner mécaniquement les valeurs</w:t>
            </w:r>
          </w:p>
        </w:tc>
        <w:tc>
          <w:tcPr>
            <w:tcW w:w="7373" w:type="dxa"/>
          </w:tcPr>
          <w:p w14:paraId="7537A4BF" w14:textId="77777777" w:rsidR="001E2D8F" w:rsidRPr="001E2D8F" w:rsidRDefault="001E2D8F" w:rsidP="001E2D8F">
            <w:pPr>
              <w:jc w:val="left"/>
              <w:rPr>
                <w:rFonts w:ascii="Calibri" w:hAnsi="Calibri" w:cs="Calibri"/>
                <w:sz w:val="20"/>
              </w:rPr>
            </w:pPr>
            <w:r w:rsidRPr="001E2D8F">
              <w:rPr>
                <w:rFonts w:ascii="Calibri" w:hAnsi="Calibri" w:cs="Calibri"/>
                <w:sz w:val="20"/>
              </w:rPr>
              <w:t>Expliquer les méthodes et les hypothèses pertinentes.</w:t>
            </w:r>
          </w:p>
        </w:tc>
      </w:tr>
      <w:tr w:rsidR="001E2D8F" w:rsidRPr="001E2D8F" w14:paraId="5DAED013" w14:textId="77777777" w:rsidTr="001E2D8F">
        <w:tc>
          <w:tcPr>
            <w:tcW w:w="2995" w:type="dxa"/>
          </w:tcPr>
          <w:p w14:paraId="1F1E9F80" w14:textId="77777777" w:rsidR="001E2D8F" w:rsidRPr="001E2D8F" w:rsidRDefault="001E2D8F" w:rsidP="001E2D8F">
            <w:pPr>
              <w:jc w:val="left"/>
              <w:rPr>
                <w:rFonts w:ascii="Calibri" w:hAnsi="Calibri" w:cs="Calibri"/>
                <w:sz w:val="20"/>
              </w:rPr>
            </w:pPr>
            <w:r w:rsidRPr="001E2D8F">
              <w:rPr>
                <w:rFonts w:ascii="Calibri" w:hAnsi="Calibri" w:cs="Calibri"/>
                <w:sz w:val="20"/>
              </w:rPr>
              <w:t>Valider la reprise sur le seul prix</w:t>
            </w:r>
          </w:p>
        </w:tc>
        <w:tc>
          <w:tcPr>
            <w:tcW w:w="7373" w:type="dxa"/>
          </w:tcPr>
          <w:p w14:paraId="74D9AC2A" w14:textId="77777777" w:rsidR="001E2D8F" w:rsidRPr="001E2D8F" w:rsidRDefault="001E2D8F" w:rsidP="001E2D8F">
            <w:pPr>
              <w:jc w:val="left"/>
              <w:rPr>
                <w:rFonts w:ascii="Calibri" w:hAnsi="Calibri" w:cs="Calibri"/>
                <w:sz w:val="20"/>
              </w:rPr>
            </w:pPr>
            <w:r w:rsidRPr="001E2D8F">
              <w:rPr>
                <w:rFonts w:ascii="Calibri" w:hAnsi="Calibri" w:cs="Calibri"/>
                <w:sz w:val="20"/>
              </w:rPr>
              <w:t>Vérifier le financement et la continuité opérationnelle.</w:t>
            </w:r>
          </w:p>
        </w:tc>
      </w:tr>
    </w:tbl>
    <w:p w14:paraId="16715CD2" w14:textId="77777777" w:rsidR="001E2D8F" w:rsidRDefault="001E2D8F" w:rsidP="001E2D8F">
      <w:pPr>
        <w:spacing w:after="0" w:line="240" w:lineRule="auto"/>
      </w:pPr>
    </w:p>
    <w:p w14:paraId="160297B1" w14:textId="26423774" w:rsidR="001E2D8F" w:rsidRDefault="001E2D8F" w:rsidP="001E2D8F">
      <w:pPr>
        <w:spacing w:after="0" w:line="240" w:lineRule="auto"/>
      </w:pPr>
      <w:r>
        <w:t>L’interprétation doit relier chaque résultat à une décision</w:t>
      </w:r>
      <w:r>
        <w:t> :</w:t>
      </w:r>
      <w:r>
        <w:t xml:space="preserve"> négocier, financer, investir, sécuriser un contrat ou modifier l’organisation.</w:t>
      </w:r>
    </w:p>
    <w:p w14:paraId="6287E7BF" w14:textId="77777777" w:rsidR="001E2D8F" w:rsidRDefault="001E2D8F" w:rsidP="001E2D8F">
      <w:pPr>
        <w:spacing w:after="0" w:line="240" w:lineRule="auto"/>
      </w:pPr>
    </w:p>
    <w:p w14:paraId="7C822C00" w14:textId="1B8BF021" w:rsidR="001E2D8F" w:rsidRDefault="001E2D8F" w:rsidP="001E2D8F">
      <w:pPr>
        <w:spacing w:after="0" w:line="240" w:lineRule="auto"/>
      </w:pPr>
    </w:p>
    <w:p w14:paraId="28DEFFE0" w14:textId="77777777" w:rsidR="001E2D8F" w:rsidRDefault="001E2D8F" w:rsidP="001E2D8F">
      <w:pPr>
        <w:pStyle w:val="Titre1"/>
        <w:spacing w:before="0" w:after="0" w:line="240" w:lineRule="auto"/>
      </w:pPr>
      <w:r>
        <w:t>14- Repères et sources</w:t>
      </w:r>
    </w:p>
    <w:p w14:paraId="0E0B023B" w14:textId="77777777" w:rsidR="001E2D8F" w:rsidRDefault="001E2D8F" w:rsidP="001E2D8F">
      <w:pPr>
        <w:pStyle w:val="Titre2"/>
        <w:spacing w:before="0" w:after="0" w:line="240" w:lineRule="auto"/>
      </w:pPr>
      <w:r>
        <w:t>14.1- Questions à se poser avant de conclure</w:t>
      </w:r>
    </w:p>
    <w:p w14:paraId="57613A58" w14:textId="4415A482"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Le projet correspond-il aux compétences et aux ressources du repreneur</w:t>
      </w:r>
      <w:r>
        <w:rPr>
          <w:lang w:val="fr-FR"/>
        </w:rPr>
        <w:t> ?</w:t>
      </w:r>
    </w:p>
    <w:p w14:paraId="4808228D" w14:textId="0E3E9A30"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La clientèle et les compétences clés restent-elles dans l’entreprise</w:t>
      </w:r>
      <w:r>
        <w:rPr>
          <w:lang w:val="fr-FR"/>
        </w:rPr>
        <w:t> ?</w:t>
      </w:r>
    </w:p>
    <w:p w14:paraId="7B225A3A" w14:textId="30E70E85"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Les résultats retraités sont-ils durables et suffisamment documentés</w:t>
      </w:r>
      <w:r>
        <w:rPr>
          <w:lang w:val="fr-FR"/>
        </w:rPr>
        <w:t> ?</w:t>
      </w:r>
    </w:p>
    <w:p w14:paraId="6FEC6F8F" w14:textId="3D71B87A"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Le prix et les dettes sont-ils calculés sur un périmètre cohérent</w:t>
      </w:r>
      <w:r>
        <w:rPr>
          <w:lang w:val="fr-FR"/>
        </w:rPr>
        <w:t> ?</w:t>
      </w:r>
    </w:p>
    <w:p w14:paraId="5C80B0F7" w14:textId="0C6DCCA7"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Les investissements, frais et besoins supplémentaires sont-ils financés</w:t>
      </w:r>
      <w:r>
        <w:rPr>
          <w:lang w:val="fr-FR"/>
        </w:rPr>
        <w:t> ?</w:t>
      </w:r>
    </w:p>
    <w:p w14:paraId="5011E2D9" w14:textId="16F7BDD5"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Les échéances restent-elles supportables dans un scénario défavorable</w:t>
      </w:r>
      <w:r>
        <w:rPr>
          <w:lang w:val="fr-FR"/>
        </w:rPr>
        <w:t> ?</w:t>
      </w:r>
    </w:p>
    <w:p w14:paraId="593886FB" w14:textId="0D4D9DF0"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Les risques antérieurs sont-ils vérifiés et traités contractuellement</w:t>
      </w:r>
      <w:r>
        <w:rPr>
          <w:lang w:val="fr-FR"/>
        </w:rPr>
        <w:t> ?</w:t>
      </w:r>
    </w:p>
    <w:p w14:paraId="689F3774" w14:textId="1984346E" w:rsidR="001E2D8F" w:rsidRPr="001E2D8F" w:rsidRDefault="001E2D8F" w:rsidP="001E2D8F">
      <w:pPr>
        <w:pStyle w:val="Listepuces"/>
        <w:tabs>
          <w:tab w:val="num" w:pos="360"/>
        </w:tabs>
        <w:spacing w:after="0" w:line="240" w:lineRule="auto"/>
        <w:ind w:left="360" w:hanging="360"/>
        <w:jc w:val="both"/>
        <w:rPr>
          <w:lang w:val="fr-FR"/>
        </w:rPr>
      </w:pPr>
      <w:r w:rsidRPr="001E2D8F">
        <w:rPr>
          <w:lang w:val="fr-FR"/>
        </w:rPr>
        <w:t>Le repreneur dispose-t-il d’un dispositif de suivi dès la prise en main</w:t>
      </w:r>
      <w:r>
        <w:rPr>
          <w:lang w:val="fr-FR"/>
        </w:rPr>
        <w:t> ?</w:t>
      </w:r>
    </w:p>
    <w:p w14:paraId="3F1F490A" w14:textId="77777777" w:rsidR="001E2D8F" w:rsidRDefault="001E2D8F" w:rsidP="001E2D8F">
      <w:pPr>
        <w:pStyle w:val="Titre2"/>
        <w:spacing w:before="0" w:after="0" w:line="240" w:lineRule="auto"/>
      </w:pPr>
      <w:r>
        <w:lastRenderedPageBreak/>
        <w:t>14.2- Sources françaises pour les repères juridiques</w:t>
      </w:r>
    </w:p>
    <w:p w14:paraId="2E41CDB0" w14:textId="77777777" w:rsidR="001E2D8F" w:rsidRDefault="001E2D8F" w:rsidP="001E2D8F">
      <w:pPr>
        <w:spacing w:after="0" w:line="240" w:lineRule="auto"/>
      </w:pPr>
      <w:r>
        <w:t>Sources consultées le 1er octobre 2026. Les références ci-dessous permettent de vérifier les points juridiques et la distinction entre diagnostic et audit. Les méthodes de calcul et le cas chiffré sont présentés comme outils pédagogiques de contrôle de gestion.</w:t>
      </w:r>
    </w:p>
    <w:p w14:paraId="2D7CB699" w14:textId="629C2159" w:rsidR="001E2D8F" w:rsidRDefault="001E2D8F" w:rsidP="001E2D8F">
      <w:pPr>
        <w:spacing w:after="0" w:line="240" w:lineRule="auto"/>
      </w:pPr>
      <w:hyperlink r:id="rId7">
        <w:r>
          <w:rPr>
            <w:color w:val="174B77"/>
          </w:rPr>
          <w:t xml:space="preserve">[1] Code civil, article 1112 </w:t>
        </w:r>
        <w:r>
          <w:rPr>
            <w:color w:val="174B77"/>
          </w:rPr>
          <w:t>-</w:t>
        </w:r>
        <w:r>
          <w:rPr>
            <w:color w:val="174B77"/>
          </w:rPr>
          <w:t xml:space="preserve"> liberté des négociations et bonne foi</w:t>
        </w:r>
      </w:hyperlink>
    </w:p>
    <w:p w14:paraId="2475E75F" w14:textId="2AFC70DE" w:rsidR="001E2D8F" w:rsidRDefault="001E2D8F" w:rsidP="001E2D8F">
      <w:pPr>
        <w:spacing w:after="0" w:line="240" w:lineRule="auto"/>
      </w:pPr>
      <w:hyperlink r:id="rId8">
        <w:r>
          <w:rPr>
            <w:color w:val="174B77"/>
          </w:rPr>
          <w:t xml:space="preserve">[2] Code civil, article 1112-2 </w:t>
        </w:r>
        <w:r>
          <w:rPr>
            <w:color w:val="174B77"/>
          </w:rPr>
          <w:t>-</w:t>
        </w:r>
        <w:r>
          <w:rPr>
            <w:color w:val="174B77"/>
          </w:rPr>
          <w:t xml:space="preserve"> informations confidentielles</w:t>
        </w:r>
      </w:hyperlink>
    </w:p>
    <w:p w14:paraId="5A39EE8B" w14:textId="00191B87" w:rsidR="001E2D8F" w:rsidRDefault="001E2D8F" w:rsidP="001E2D8F">
      <w:pPr>
        <w:spacing w:after="0" w:line="240" w:lineRule="auto"/>
      </w:pPr>
      <w:hyperlink r:id="rId9">
        <w:r>
          <w:rPr>
            <w:color w:val="174B77"/>
          </w:rPr>
          <w:t xml:space="preserve">[3] Service Public Entreprendre </w:t>
        </w:r>
        <w:r>
          <w:rPr>
            <w:color w:val="174B77"/>
          </w:rPr>
          <w:t>-</w:t>
        </w:r>
        <w:r>
          <w:rPr>
            <w:color w:val="174B77"/>
          </w:rPr>
          <w:t xml:space="preserve"> Cession du fonds de commerce à un tiers</w:t>
        </w:r>
      </w:hyperlink>
    </w:p>
    <w:p w14:paraId="7B812BD3" w14:textId="1CBCB5B9" w:rsidR="001E2D8F" w:rsidRDefault="001E2D8F" w:rsidP="001E2D8F">
      <w:pPr>
        <w:spacing w:after="0" w:line="240" w:lineRule="auto"/>
      </w:pPr>
      <w:hyperlink r:id="rId10">
        <w:r>
          <w:rPr>
            <w:color w:val="174B77"/>
          </w:rPr>
          <w:t xml:space="preserve">[4] Service Public Entreprendre </w:t>
        </w:r>
        <w:r>
          <w:rPr>
            <w:color w:val="174B77"/>
          </w:rPr>
          <w:t>-</w:t>
        </w:r>
        <w:r>
          <w:rPr>
            <w:color w:val="174B77"/>
          </w:rPr>
          <w:t xml:space="preserve"> Élaborer le montage juridique de la reprise</w:t>
        </w:r>
      </w:hyperlink>
    </w:p>
    <w:p w14:paraId="257B3BFC" w14:textId="679AADDF" w:rsidR="001E2D8F" w:rsidRDefault="001E2D8F" w:rsidP="001E2D8F">
      <w:pPr>
        <w:spacing w:after="0" w:line="240" w:lineRule="auto"/>
      </w:pPr>
      <w:hyperlink r:id="rId11">
        <w:r>
          <w:rPr>
            <w:color w:val="174B77"/>
          </w:rPr>
          <w:t xml:space="preserve">[5] Bpifrance Création </w:t>
        </w:r>
        <w:r>
          <w:rPr>
            <w:color w:val="174B77"/>
          </w:rPr>
          <w:t>-</w:t>
        </w:r>
        <w:r>
          <w:rPr>
            <w:color w:val="174B77"/>
          </w:rPr>
          <w:t xml:space="preserve"> Reprise et garantie d’actif et de passif</w:t>
        </w:r>
      </w:hyperlink>
    </w:p>
    <w:p w14:paraId="03B8EF9E" w14:textId="78920B18" w:rsidR="001E2D8F" w:rsidRDefault="001E2D8F" w:rsidP="001E2D8F">
      <w:pPr>
        <w:spacing w:after="0" w:line="240" w:lineRule="auto"/>
      </w:pPr>
      <w:hyperlink r:id="rId12">
        <w:r>
          <w:rPr>
            <w:color w:val="174B77"/>
          </w:rPr>
          <w:t xml:space="preserve">[6] Bpifrance Création </w:t>
        </w:r>
        <w:r>
          <w:rPr>
            <w:color w:val="174B77"/>
          </w:rPr>
          <w:t>-</w:t>
        </w:r>
        <w:r>
          <w:rPr>
            <w:color w:val="174B77"/>
          </w:rPr>
          <w:t xml:space="preserve"> Diagnostiquer l’entreprise à reprendre</w:t>
        </w:r>
      </w:hyperlink>
    </w:p>
    <w:p w14:paraId="68CD354C" w14:textId="77777777" w:rsidR="001E2D8F" w:rsidRDefault="001E2D8F" w:rsidP="001E2D8F">
      <w:pPr>
        <w:pStyle w:val="Titre2"/>
        <w:spacing w:before="0" w:after="0" w:line="240" w:lineRule="auto"/>
      </w:pPr>
      <w:r>
        <w:t>14.3- Place du contrôle de gestion</w:t>
      </w:r>
    </w:p>
    <w:p w14:paraId="2FDEDE0D" w14:textId="77777777" w:rsidR="001E2D8F" w:rsidRDefault="001E2D8F" w:rsidP="001E2D8F">
      <w:pPr>
        <w:spacing w:after="0" w:line="240" w:lineRule="auto"/>
      </w:pPr>
      <w:r>
        <w:t>Avant l’acquisition, le contrôle de gestion transforme les informations disponibles en hypothèses vérifiables et en besoins chiffrés. Après l’acquisition, il relie les objectifs aux budgets, aux indicateurs et aux actions. Le diagnostic initial devient ainsi un point de départ pour mesurer les résultats obtenus et adapter les décisions.</w:t>
      </w:r>
    </w:p>
    <w:p w14:paraId="710D3BA6" w14:textId="32137792" w:rsidR="000411E3" w:rsidRPr="000D6577" w:rsidRDefault="000411E3" w:rsidP="001E2D8F">
      <w:pPr>
        <w:spacing w:after="0" w:line="240" w:lineRule="auto"/>
      </w:pPr>
    </w:p>
    <w:sectPr w:rsidR="000411E3" w:rsidRPr="000D6577" w:rsidSect="001E2D8F">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70AA2" w14:textId="77777777" w:rsidR="0016487F" w:rsidRDefault="0016487F" w:rsidP="00B870C7">
      <w:r>
        <w:separator/>
      </w:r>
    </w:p>
  </w:endnote>
  <w:endnote w:type="continuationSeparator" w:id="0">
    <w:p w14:paraId="4C5C708D" w14:textId="77777777" w:rsidR="0016487F" w:rsidRDefault="0016487F"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2505" w14:textId="4E4D2381"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2EBE4" w14:textId="77777777" w:rsidR="0016487F" w:rsidRDefault="0016487F" w:rsidP="00B870C7">
      <w:r>
        <w:separator/>
      </w:r>
    </w:p>
  </w:footnote>
  <w:footnote w:type="continuationSeparator" w:id="0">
    <w:p w14:paraId="32FE035D" w14:textId="77777777" w:rsidR="0016487F" w:rsidRDefault="0016487F"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3542E8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3AD00238"/>
    <w:multiLevelType w:val="hybridMultilevel"/>
    <w:tmpl w:val="3A6EFD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03E535B"/>
    <w:multiLevelType w:val="hybridMultilevel"/>
    <w:tmpl w:val="1952C8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21812051">
    <w:abstractNumId w:val="0"/>
  </w:num>
  <w:num w:numId="2" w16cid:durableId="165051051">
    <w:abstractNumId w:val="2"/>
  </w:num>
  <w:num w:numId="3" w16cid:durableId="1919974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D6577"/>
    <w:rsid w:val="000F1177"/>
    <w:rsid w:val="000F4643"/>
    <w:rsid w:val="0013594E"/>
    <w:rsid w:val="00135CDD"/>
    <w:rsid w:val="0016487F"/>
    <w:rsid w:val="001666DB"/>
    <w:rsid w:val="001B03F3"/>
    <w:rsid w:val="001C2E5A"/>
    <w:rsid w:val="001E2D8F"/>
    <w:rsid w:val="001F5435"/>
    <w:rsid w:val="001F64D4"/>
    <w:rsid w:val="002439F2"/>
    <w:rsid w:val="002569B2"/>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80F46"/>
    <w:rsid w:val="0059110C"/>
    <w:rsid w:val="005962A0"/>
    <w:rsid w:val="005B4561"/>
    <w:rsid w:val="005E0DC3"/>
    <w:rsid w:val="00600E05"/>
    <w:rsid w:val="00613FDE"/>
    <w:rsid w:val="00632C58"/>
    <w:rsid w:val="00632EDC"/>
    <w:rsid w:val="0063472B"/>
    <w:rsid w:val="006460AB"/>
    <w:rsid w:val="00665A35"/>
    <w:rsid w:val="006C0415"/>
    <w:rsid w:val="006C6336"/>
    <w:rsid w:val="006D099F"/>
    <w:rsid w:val="006E7270"/>
    <w:rsid w:val="00700DA4"/>
    <w:rsid w:val="00713AC4"/>
    <w:rsid w:val="007A110E"/>
    <w:rsid w:val="007A1353"/>
    <w:rsid w:val="007C59BC"/>
    <w:rsid w:val="007D52B4"/>
    <w:rsid w:val="007E1FF6"/>
    <w:rsid w:val="00800F72"/>
    <w:rsid w:val="00807899"/>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4325D"/>
    <w:rsid w:val="00A52414"/>
    <w:rsid w:val="00A62827"/>
    <w:rsid w:val="00A662DC"/>
    <w:rsid w:val="00A878BE"/>
    <w:rsid w:val="00A94D14"/>
    <w:rsid w:val="00A9715C"/>
    <w:rsid w:val="00AA6814"/>
    <w:rsid w:val="00AB3D3A"/>
    <w:rsid w:val="00AB6315"/>
    <w:rsid w:val="00AF5111"/>
    <w:rsid w:val="00B507B1"/>
    <w:rsid w:val="00B649B3"/>
    <w:rsid w:val="00B65E49"/>
    <w:rsid w:val="00B76104"/>
    <w:rsid w:val="00B870C7"/>
    <w:rsid w:val="00B9030D"/>
    <w:rsid w:val="00B906BB"/>
    <w:rsid w:val="00B9666C"/>
    <w:rsid w:val="00BA73A4"/>
    <w:rsid w:val="00BB2B03"/>
    <w:rsid w:val="00BD66AA"/>
    <w:rsid w:val="00C03F1D"/>
    <w:rsid w:val="00C17564"/>
    <w:rsid w:val="00C43ED4"/>
    <w:rsid w:val="00C825EC"/>
    <w:rsid w:val="00C87F06"/>
    <w:rsid w:val="00CA4633"/>
    <w:rsid w:val="00CC4DE7"/>
    <w:rsid w:val="00D00629"/>
    <w:rsid w:val="00D503E9"/>
    <w:rsid w:val="00DA6E3D"/>
    <w:rsid w:val="00DD2902"/>
    <w:rsid w:val="00DE760B"/>
    <w:rsid w:val="00E07964"/>
    <w:rsid w:val="00E5775F"/>
    <w:rsid w:val="00E9016D"/>
    <w:rsid w:val="00F07238"/>
    <w:rsid w:val="00F26BAE"/>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D90A"/>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styleId="Listepuces">
    <w:name w:val="List Bullet"/>
    <w:basedOn w:val="Normal"/>
    <w:uiPriority w:val="99"/>
    <w:unhideWhenUsed/>
    <w:rsid w:val="001E2D8F"/>
    <w:pPr>
      <w:numPr>
        <w:numId w:val="1"/>
      </w:numPr>
      <w:tabs>
        <w:tab w:val="clear" w:pos="360"/>
      </w:tabs>
      <w:spacing w:after="120" w:line="254" w:lineRule="auto"/>
      <w:ind w:left="0" w:firstLine="0"/>
      <w:contextualSpacing/>
      <w:jc w:val="left"/>
    </w:pPr>
    <w:rPr>
      <w:rFonts w:ascii="Calibri" w:eastAsiaTheme="minorEastAsia" w:hAnsi="Calibri"/>
      <w:color w:val="00000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3200714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egifrance.gouv.fr/codes/article_lc/LEGIARTI000036829818" TargetMode="External"/><Relationship Id="rId12" Type="http://schemas.openxmlformats.org/officeDocument/2006/relationships/hyperlink" Target="https://bpifrance-creation.fr/encyclopedie/reprendre-entreprise-etapes/diagnostiquer-evaluer/diagnostiquer-lentreprise-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pifrance-creation.fr/moment-de-vie/reprise-dentreprise-quest-ce-que-garantie-dactif-passi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ntreprendre.service-public.gouv.fr/vosdroits/F36127" TargetMode="External"/><Relationship Id="rId4" Type="http://schemas.openxmlformats.org/officeDocument/2006/relationships/webSettings" Target="webSettings.xml"/><Relationship Id="rId9" Type="http://schemas.openxmlformats.org/officeDocument/2006/relationships/hyperlink" Target="https://entreprendre.service-public.gouv.fr/vosdroits/F37197"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5528</Words>
  <Characters>30408</Characters>
  <Application>Microsoft Office Word</Application>
  <DocSecurity>0</DocSecurity>
  <Lines>253</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3</cp:revision>
  <cp:lastPrinted>2024-10-21T07:08:00Z</cp:lastPrinted>
  <dcterms:created xsi:type="dcterms:W3CDTF">2026-10-01T12:10:00Z</dcterms:created>
  <dcterms:modified xsi:type="dcterms:W3CDTF">2026-10-01T12:28:00Z</dcterms:modified>
</cp:coreProperties>
</file>