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BF724" w14:textId="77777777" w:rsidR="00353A34" w:rsidRPr="00353A34" w:rsidRDefault="00353A34" w:rsidP="00353A34">
      <w:pPr>
        <w:pStyle w:val="Titre1"/>
      </w:pPr>
      <w:r w:rsidRPr="00353A34">
        <w:t>Coûts – Synthèse 2025 : évolution des dépenses numériques et des priorités IT</w:t>
      </w:r>
    </w:p>
    <w:p w14:paraId="3BA86E1D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1. Hausse structurelle des coûts des datacenters et de l’énergie</w:t>
      </w:r>
    </w:p>
    <w:p w14:paraId="479522FB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Goldman Sachs, CBRE, Le Monde Informatique (mars–sept. 2025)</w:t>
      </w:r>
    </w:p>
    <w:p w14:paraId="3F6BC5DC" w14:textId="77777777" w:rsidR="00353A34" w:rsidRPr="00353A34" w:rsidRDefault="00353A34" w:rsidP="00353A34">
      <w:r w:rsidRPr="00353A34">
        <w:t>La montée en puissance de l’intelligence artificielle bouleverse la structure de coûts des infrastructures :</w:t>
      </w:r>
    </w:p>
    <w:p w14:paraId="24925820" w14:textId="77777777" w:rsidR="00353A34" w:rsidRPr="00353A34" w:rsidRDefault="00353A34" w:rsidP="00353A34">
      <w:pPr>
        <w:numPr>
          <w:ilvl w:val="0"/>
          <w:numId w:val="17"/>
        </w:numPr>
      </w:pPr>
      <w:r w:rsidRPr="00353A34">
        <w:t xml:space="preserve">Les </w:t>
      </w:r>
      <w:r w:rsidRPr="00353A34">
        <w:rPr>
          <w:b/>
          <w:bCs/>
        </w:rPr>
        <w:t>dépenses énergétiques</w:t>
      </w:r>
      <w:r w:rsidRPr="00353A34">
        <w:t xml:space="preserve"> des datacenters devraient atteindre </w:t>
      </w:r>
      <w:r w:rsidRPr="00353A34">
        <w:rPr>
          <w:b/>
          <w:bCs/>
        </w:rPr>
        <w:t>92 GW</w:t>
      </w:r>
      <w:r w:rsidRPr="00353A34">
        <w:t xml:space="preserve"> en 2027 (contre 62 GW en 2023), dont </w:t>
      </w:r>
      <w:r w:rsidRPr="00353A34">
        <w:rPr>
          <w:b/>
          <w:bCs/>
        </w:rPr>
        <w:t>28 %</w:t>
      </w:r>
      <w:r w:rsidRPr="00353A34">
        <w:t xml:space="preserve"> pour l’IA.</w:t>
      </w:r>
    </w:p>
    <w:p w14:paraId="1D4B76E1" w14:textId="77777777" w:rsidR="00353A34" w:rsidRPr="00353A34" w:rsidRDefault="00353A34" w:rsidP="00353A34">
      <w:pPr>
        <w:numPr>
          <w:ilvl w:val="0"/>
          <w:numId w:val="17"/>
        </w:numPr>
      </w:pPr>
      <w:r w:rsidRPr="00353A34">
        <w:t xml:space="preserve">Les coûts d’exploitation augmentent de </w:t>
      </w:r>
      <w:r w:rsidRPr="00353A34">
        <w:rPr>
          <w:b/>
          <w:bCs/>
        </w:rPr>
        <w:t>10 à 18 %</w:t>
      </w:r>
      <w:r w:rsidRPr="00353A34">
        <w:t xml:space="preserve"> selon CBRE, en raison de la hausse du foncier, du refroidissement et des GPU haut de gamme.</w:t>
      </w:r>
    </w:p>
    <w:p w14:paraId="731C5281" w14:textId="77777777" w:rsidR="00353A34" w:rsidRPr="00353A34" w:rsidRDefault="00353A34" w:rsidP="00353A34">
      <w:pPr>
        <w:numPr>
          <w:ilvl w:val="0"/>
          <w:numId w:val="17"/>
        </w:numPr>
      </w:pPr>
      <w:r w:rsidRPr="00353A34">
        <w:t xml:space="preserve">Les </w:t>
      </w:r>
      <w:r w:rsidRPr="00353A34">
        <w:rPr>
          <w:b/>
          <w:bCs/>
        </w:rPr>
        <w:t xml:space="preserve">Power </w:t>
      </w:r>
      <w:proofErr w:type="spellStart"/>
      <w:r w:rsidRPr="00353A34">
        <w:rPr>
          <w:b/>
          <w:bCs/>
        </w:rPr>
        <w:t>Purchase</w:t>
      </w:r>
      <w:proofErr w:type="spellEnd"/>
      <w:r w:rsidRPr="00353A34">
        <w:rPr>
          <w:b/>
          <w:bCs/>
        </w:rPr>
        <w:t xml:space="preserve"> </w:t>
      </w:r>
      <w:proofErr w:type="spellStart"/>
      <w:r w:rsidRPr="00353A34">
        <w:rPr>
          <w:b/>
          <w:bCs/>
        </w:rPr>
        <w:t>Agreements</w:t>
      </w:r>
      <w:proofErr w:type="spellEnd"/>
      <w:r w:rsidRPr="00353A34">
        <w:rPr>
          <w:b/>
          <w:bCs/>
        </w:rPr>
        <w:t xml:space="preserve"> (PPA)</w:t>
      </w:r>
      <w:r w:rsidRPr="00353A34">
        <w:t xml:space="preserve"> à long terme se multiplient (ex. contrat Meta–Constellation Energy sur 20 ans, alimentation nucléaire).</w:t>
      </w:r>
    </w:p>
    <w:p w14:paraId="2096049E" w14:textId="77777777" w:rsidR="00353A34" w:rsidRPr="00353A34" w:rsidRDefault="00353A34" w:rsidP="00353A34">
      <w:pPr>
        <w:numPr>
          <w:ilvl w:val="0"/>
          <w:numId w:val="17"/>
        </w:numPr>
      </w:pPr>
      <w:r w:rsidRPr="00353A34">
        <w:t xml:space="preserve">La </w:t>
      </w:r>
      <w:r w:rsidRPr="00353A34">
        <w:rPr>
          <w:b/>
          <w:bCs/>
        </w:rPr>
        <w:t>facture énergétique mondiale du cloud</w:t>
      </w:r>
      <w:r w:rsidRPr="00353A34">
        <w:t xml:space="preserve"> pourrait représenter 0,6 % des émissions globales d’ici 2030.</w:t>
      </w:r>
    </w:p>
    <w:p w14:paraId="363BEEA7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 coût du cloud devient un </w:t>
      </w:r>
      <w:r w:rsidRPr="00353A34">
        <w:rPr>
          <w:b/>
          <w:bCs/>
        </w:rPr>
        <w:t>facteur macroéconomique majeur</w:t>
      </w:r>
      <w:r w:rsidRPr="00353A34">
        <w:t xml:space="preserve"> ; les directions financières adoptent des modèles </w:t>
      </w:r>
      <w:proofErr w:type="spellStart"/>
      <w:r w:rsidRPr="00353A34">
        <w:rPr>
          <w:b/>
          <w:bCs/>
        </w:rPr>
        <w:t>FinOps</w:t>
      </w:r>
      <w:proofErr w:type="spellEnd"/>
      <w:r w:rsidRPr="00353A34">
        <w:rPr>
          <w:b/>
          <w:bCs/>
        </w:rPr>
        <w:t xml:space="preserve"> + </w:t>
      </w:r>
      <w:proofErr w:type="spellStart"/>
      <w:r w:rsidRPr="00353A34">
        <w:rPr>
          <w:b/>
          <w:bCs/>
        </w:rPr>
        <w:t>GreenOps</w:t>
      </w:r>
      <w:proofErr w:type="spellEnd"/>
      <w:r w:rsidRPr="00353A34">
        <w:t xml:space="preserve"> pour équilibrer performance, prix et durabilité.</w:t>
      </w:r>
    </w:p>
    <w:p w14:paraId="343F3A8F" w14:textId="77777777" w:rsidR="00353A34" w:rsidRPr="00353A34" w:rsidRDefault="00353A34" w:rsidP="00353A34">
      <w:r w:rsidRPr="00353A34">
        <w:pict w14:anchorId="0D6C9557">
          <v:rect id="_x0000_i1099" style="width:0;height:1.5pt" o:hralign="center" o:hrstd="t" o:hr="t" fillcolor="#a0a0a0" stroked="f"/>
        </w:pict>
      </w:r>
    </w:p>
    <w:p w14:paraId="78B65B22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2. Inflation logicielle et explosion des coûts du cloud</w:t>
      </w:r>
    </w:p>
    <w:p w14:paraId="06D329BB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Le Monde Informatique, Usine Digitale, CBRE, 2025</w:t>
      </w:r>
    </w:p>
    <w:p w14:paraId="6DF4A081" w14:textId="77777777" w:rsidR="00353A34" w:rsidRPr="00353A34" w:rsidRDefault="00353A34" w:rsidP="00353A34">
      <w:r w:rsidRPr="00353A34">
        <w:t>Les dépenses cloud poursuivent leur envolée en 2025 :</w:t>
      </w:r>
    </w:p>
    <w:p w14:paraId="5CBE7032" w14:textId="77777777" w:rsidR="00353A34" w:rsidRPr="00353A34" w:rsidRDefault="00353A34" w:rsidP="00353A34">
      <w:pPr>
        <w:numPr>
          <w:ilvl w:val="0"/>
          <w:numId w:val="18"/>
        </w:numPr>
      </w:pPr>
      <w:r w:rsidRPr="00353A34">
        <w:t>+</w:t>
      </w:r>
      <w:r w:rsidRPr="00353A34">
        <w:rPr>
          <w:b/>
          <w:bCs/>
        </w:rPr>
        <w:t>30 %</w:t>
      </w:r>
      <w:r w:rsidRPr="00353A34">
        <w:t xml:space="preserve"> de hausse annuelle moyenne liée à la </w:t>
      </w:r>
      <w:r w:rsidRPr="00353A34">
        <w:rPr>
          <w:b/>
          <w:bCs/>
        </w:rPr>
        <w:t>génération IA</w:t>
      </w:r>
      <w:r w:rsidRPr="00353A34">
        <w:t xml:space="preserve"> et aux </w:t>
      </w:r>
      <w:proofErr w:type="spellStart"/>
      <w:r w:rsidRPr="00353A34">
        <w:t>workloads</w:t>
      </w:r>
      <w:proofErr w:type="spellEnd"/>
      <w:r w:rsidRPr="00353A34">
        <w:t xml:space="preserve"> de calcul massif.</w:t>
      </w:r>
    </w:p>
    <w:p w14:paraId="10E30768" w14:textId="77777777" w:rsidR="00353A34" w:rsidRPr="00353A34" w:rsidRDefault="00353A34" w:rsidP="00353A34">
      <w:pPr>
        <w:numPr>
          <w:ilvl w:val="0"/>
          <w:numId w:val="18"/>
        </w:numPr>
      </w:pPr>
      <w:r w:rsidRPr="00353A34">
        <w:t xml:space="preserve">Le </w:t>
      </w:r>
      <w:proofErr w:type="spellStart"/>
      <w:r w:rsidRPr="00353A34">
        <w:rPr>
          <w:b/>
          <w:bCs/>
        </w:rPr>
        <w:t>shadow</w:t>
      </w:r>
      <w:proofErr w:type="spellEnd"/>
      <w:r w:rsidRPr="00353A34">
        <w:rPr>
          <w:b/>
          <w:bCs/>
        </w:rPr>
        <w:t xml:space="preserve"> IT</w:t>
      </w:r>
      <w:r w:rsidRPr="00353A34">
        <w:t xml:space="preserve"> représente jusqu’à </w:t>
      </w:r>
      <w:r w:rsidRPr="00353A34">
        <w:rPr>
          <w:b/>
          <w:bCs/>
        </w:rPr>
        <w:t>35–40 %</w:t>
      </w:r>
      <w:r w:rsidRPr="00353A34">
        <w:t xml:space="preserve"> des dépenses SaaS réelles.</w:t>
      </w:r>
    </w:p>
    <w:p w14:paraId="709FE111" w14:textId="77777777" w:rsidR="00353A34" w:rsidRPr="00353A34" w:rsidRDefault="00353A34" w:rsidP="00353A34">
      <w:pPr>
        <w:numPr>
          <w:ilvl w:val="0"/>
          <w:numId w:val="18"/>
        </w:numPr>
      </w:pPr>
      <w:r w:rsidRPr="00353A34">
        <w:t xml:space="preserve">Les éditeurs imposent des </w:t>
      </w:r>
      <w:r w:rsidRPr="00353A34">
        <w:rPr>
          <w:b/>
          <w:bCs/>
        </w:rPr>
        <w:t>hausses contractuelles opaques</w:t>
      </w:r>
      <w:r w:rsidRPr="00353A34">
        <w:t xml:space="preserve"> (+9 % en moyenne sur les licences SaaS en Europe).</w:t>
      </w:r>
    </w:p>
    <w:p w14:paraId="408A4389" w14:textId="77777777" w:rsidR="00353A34" w:rsidRPr="00353A34" w:rsidRDefault="00353A34" w:rsidP="00353A34">
      <w:pPr>
        <w:numPr>
          <w:ilvl w:val="0"/>
          <w:numId w:val="18"/>
        </w:numPr>
      </w:pPr>
      <w:r w:rsidRPr="00353A34">
        <w:t xml:space="preserve">Les pratiques </w:t>
      </w:r>
      <w:proofErr w:type="spellStart"/>
      <w:r w:rsidRPr="00353A34">
        <w:rPr>
          <w:b/>
          <w:bCs/>
        </w:rPr>
        <w:t>FinOps</w:t>
      </w:r>
      <w:proofErr w:type="spellEnd"/>
      <w:r w:rsidRPr="00353A34">
        <w:t xml:space="preserve"> s’imposent : optimisation des abonnements, suppression des redondances et intégration des coûts dans la gouvernance budgétaire.</w:t>
      </w:r>
    </w:p>
    <w:p w14:paraId="134DAA13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les coûts cloud ne sont plus linéaires ; leur pilotage doit être intégré à la stratégie financière globale, avec des </w:t>
      </w:r>
      <w:r w:rsidRPr="00353A34">
        <w:rPr>
          <w:b/>
          <w:bCs/>
        </w:rPr>
        <w:t>tableaux de bord de coûts par service et par projet IA</w:t>
      </w:r>
      <w:r w:rsidRPr="00353A34">
        <w:t>.</w:t>
      </w:r>
    </w:p>
    <w:p w14:paraId="2582636F" w14:textId="77777777" w:rsidR="00353A34" w:rsidRPr="00353A34" w:rsidRDefault="00353A34" w:rsidP="00353A34">
      <w:r w:rsidRPr="00353A34">
        <w:pict w14:anchorId="19A9EE32">
          <v:rect id="_x0000_i1100" style="width:0;height:1.5pt" o:hralign="center" o:hrstd="t" o:hr="t" fillcolor="#a0a0a0" stroked="f"/>
        </w:pict>
      </w:r>
    </w:p>
    <w:p w14:paraId="162D6C93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3. Budgets IT 2025 : priorités et réallocations</w:t>
      </w:r>
    </w:p>
    <w:p w14:paraId="67AAEF4F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Le Monde Informatique, Gartner, IDC (2025)</w:t>
      </w:r>
    </w:p>
    <w:p w14:paraId="23AB9479" w14:textId="77777777" w:rsidR="00353A34" w:rsidRPr="00353A34" w:rsidRDefault="00353A34" w:rsidP="00353A34">
      <w:r w:rsidRPr="00353A34">
        <w:t xml:space="preserve">Les budgets IT progressent de </w:t>
      </w:r>
      <w:r w:rsidRPr="00353A34">
        <w:rPr>
          <w:b/>
          <w:bCs/>
        </w:rPr>
        <w:t>4,5 %</w:t>
      </w:r>
      <w:r w:rsidRPr="00353A34">
        <w:t xml:space="preserve"> en moyenne en 2025, mais leur structure change profondément :</w:t>
      </w:r>
    </w:p>
    <w:p w14:paraId="086BB995" w14:textId="77777777" w:rsidR="00353A34" w:rsidRPr="00353A34" w:rsidRDefault="00353A34" w:rsidP="00353A34">
      <w:pPr>
        <w:numPr>
          <w:ilvl w:val="0"/>
          <w:numId w:val="19"/>
        </w:numPr>
      </w:pPr>
      <w:r w:rsidRPr="00353A34">
        <w:rPr>
          <w:b/>
          <w:bCs/>
        </w:rPr>
        <w:t>IA et data analytics</w:t>
      </w:r>
      <w:r w:rsidRPr="00353A34">
        <w:t xml:space="preserve"> concentrent les nouveaux investissements (près de 70 % des directions IT).</w:t>
      </w:r>
    </w:p>
    <w:p w14:paraId="27BB3184" w14:textId="77777777" w:rsidR="00353A34" w:rsidRPr="00353A34" w:rsidRDefault="00353A34" w:rsidP="00353A34">
      <w:pPr>
        <w:numPr>
          <w:ilvl w:val="0"/>
          <w:numId w:val="19"/>
        </w:numPr>
      </w:pPr>
      <w:r w:rsidRPr="00353A34">
        <w:t xml:space="preserve">La </w:t>
      </w:r>
      <w:r w:rsidRPr="00353A34">
        <w:rPr>
          <w:b/>
          <w:bCs/>
        </w:rPr>
        <w:t>cybersécurité</w:t>
      </w:r>
      <w:r w:rsidRPr="00353A34">
        <w:t xml:space="preserve"> demeure en tête (72 % des entreprises prévoient un renforcement).</w:t>
      </w:r>
    </w:p>
    <w:p w14:paraId="53676B1F" w14:textId="77777777" w:rsidR="00353A34" w:rsidRPr="00353A34" w:rsidRDefault="00353A34" w:rsidP="00353A34">
      <w:pPr>
        <w:numPr>
          <w:ilvl w:val="0"/>
          <w:numId w:val="19"/>
        </w:numPr>
      </w:pPr>
      <w:r w:rsidRPr="00353A34">
        <w:t xml:space="preserve">Les dépenses en </w:t>
      </w:r>
      <w:r w:rsidRPr="00353A34">
        <w:rPr>
          <w:b/>
          <w:bCs/>
        </w:rPr>
        <w:t>cloud souverain</w:t>
      </w:r>
      <w:r w:rsidRPr="00353A34">
        <w:t xml:space="preserve">, </w:t>
      </w:r>
      <w:r w:rsidRPr="00353A34">
        <w:rPr>
          <w:b/>
          <w:bCs/>
        </w:rPr>
        <w:t>post-quantique</w:t>
      </w:r>
      <w:r w:rsidRPr="00353A34">
        <w:t xml:space="preserve"> et </w:t>
      </w:r>
      <w:r w:rsidRPr="00353A34">
        <w:rPr>
          <w:b/>
          <w:bCs/>
        </w:rPr>
        <w:t>gouvernance des données</w:t>
      </w:r>
      <w:r w:rsidRPr="00353A34">
        <w:t xml:space="preserve"> augmentent.</w:t>
      </w:r>
    </w:p>
    <w:p w14:paraId="418559C1" w14:textId="77777777" w:rsidR="00353A34" w:rsidRPr="00353A34" w:rsidRDefault="00353A34" w:rsidP="00353A34">
      <w:pPr>
        <w:numPr>
          <w:ilvl w:val="0"/>
          <w:numId w:val="19"/>
        </w:numPr>
      </w:pPr>
      <w:r w:rsidRPr="00353A34">
        <w:t>Les entreprises arbitrent les coûts : réduction sur le matériel traditionnel (-8 %) au profit des services managés et des solutions “as-a-service”.</w:t>
      </w:r>
    </w:p>
    <w:p w14:paraId="33D1249E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les budgets IT 2025 traduisent un </w:t>
      </w:r>
      <w:r w:rsidRPr="00353A34">
        <w:rPr>
          <w:b/>
          <w:bCs/>
        </w:rPr>
        <w:t>redéploiement vers les services à forte valeur ajoutée</w:t>
      </w:r>
      <w:r w:rsidRPr="00353A34">
        <w:t xml:space="preserve"> plutôt qu’une hausse brute des dépenses.</w:t>
      </w:r>
    </w:p>
    <w:p w14:paraId="7976A3A0" w14:textId="77777777" w:rsidR="00353A34" w:rsidRPr="00353A34" w:rsidRDefault="00353A34" w:rsidP="00353A34">
      <w:r w:rsidRPr="00353A34">
        <w:lastRenderedPageBreak/>
        <w:pict w14:anchorId="2723A17F">
          <v:rect id="_x0000_i1101" style="width:0;height:1.5pt" o:hralign="center" o:hrstd="t" o:hr="t" fillcolor="#a0a0a0" stroked="f"/>
        </w:pict>
      </w:r>
    </w:p>
    <w:p w14:paraId="57703659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4. Salaires IT et pression sur les compétences</w:t>
      </w:r>
    </w:p>
    <w:p w14:paraId="06E1CCAD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Le Monde Informatique, Apec, Hays Digital, 2025</w:t>
      </w:r>
    </w:p>
    <w:p w14:paraId="1F75C23F" w14:textId="77777777" w:rsidR="00353A34" w:rsidRPr="00353A34" w:rsidRDefault="00353A34" w:rsidP="00353A34">
      <w:r w:rsidRPr="00353A34">
        <w:t>Le marché du travail IT reste tendu :</w:t>
      </w:r>
    </w:p>
    <w:p w14:paraId="03A9A39D" w14:textId="77777777" w:rsidR="00353A34" w:rsidRPr="00353A34" w:rsidRDefault="00353A34" w:rsidP="00353A34">
      <w:pPr>
        <w:numPr>
          <w:ilvl w:val="0"/>
          <w:numId w:val="20"/>
        </w:numPr>
      </w:pPr>
      <w:r w:rsidRPr="00353A34">
        <w:t>Les rémunérations dans l’</w:t>
      </w:r>
      <w:r w:rsidRPr="00353A34">
        <w:rPr>
          <w:b/>
          <w:bCs/>
        </w:rPr>
        <w:t>IA et la data</w:t>
      </w:r>
      <w:r w:rsidRPr="00353A34">
        <w:t xml:space="preserve"> progressent de </w:t>
      </w:r>
      <w:r w:rsidRPr="00353A34">
        <w:rPr>
          <w:b/>
          <w:bCs/>
        </w:rPr>
        <w:t>+10 à +12 %</w:t>
      </w:r>
      <w:r w:rsidRPr="00353A34">
        <w:t xml:space="preserve">, les profils expérimentés dépassant </w:t>
      </w:r>
      <w:r w:rsidRPr="00353A34">
        <w:rPr>
          <w:b/>
          <w:bCs/>
        </w:rPr>
        <w:t>95 000 €/an</w:t>
      </w:r>
      <w:r w:rsidRPr="00353A34">
        <w:t>.</w:t>
      </w:r>
    </w:p>
    <w:p w14:paraId="1DF65E68" w14:textId="77777777" w:rsidR="00353A34" w:rsidRPr="00353A34" w:rsidRDefault="00353A34" w:rsidP="00353A34">
      <w:pPr>
        <w:numPr>
          <w:ilvl w:val="0"/>
          <w:numId w:val="20"/>
        </w:numPr>
      </w:pPr>
      <w:r w:rsidRPr="00353A34">
        <w:t xml:space="preserve">Les </w:t>
      </w:r>
      <w:r w:rsidRPr="00353A34">
        <w:rPr>
          <w:b/>
          <w:bCs/>
        </w:rPr>
        <w:t>ingénieurs cybersécurité</w:t>
      </w:r>
      <w:r w:rsidRPr="00353A34">
        <w:t xml:space="preserve">, </w:t>
      </w:r>
      <w:r w:rsidRPr="00353A34">
        <w:rPr>
          <w:b/>
          <w:bCs/>
        </w:rPr>
        <w:t>architectes cloud</w:t>
      </w:r>
      <w:r w:rsidRPr="00353A34">
        <w:t xml:space="preserve"> et </w:t>
      </w:r>
      <w:proofErr w:type="spellStart"/>
      <w:r w:rsidRPr="00353A34">
        <w:rPr>
          <w:b/>
          <w:bCs/>
        </w:rPr>
        <w:t>MLOps</w:t>
      </w:r>
      <w:proofErr w:type="spellEnd"/>
      <w:r w:rsidRPr="00353A34">
        <w:t xml:space="preserve"> sont parmi les plus recherchés.</w:t>
      </w:r>
    </w:p>
    <w:p w14:paraId="0F90813E" w14:textId="77777777" w:rsidR="00353A34" w:rsidRPr="00353A34" w:rsidRDefault="00353A34" w:rsidP="00353A34">
      <w:pPr>
        <w:numPr>
          <w:ilvl w:val="0"/>
          <w:numId w:val="20"/>
        </w:numPr>
      </w:pPr>
      <w:r w:rsidRPr="00353A34">
        <w:t xml:space="preserve">Les entreprises compensent la pénurie par la </w:t>
      </w:r>
      <w:r w:rsidRPr="00353A34">
        <w:rPr>
          <w:b/>
          <w:bCs/>
        </w:rPr>
        <w:t>formation interne</w:t>
      </w:r>
      <w:r w:rsidRPr="00353A34">
        <w:t xml:space="preserve"> et la </w:t>
      </w:r>
      <w:r w:rsidRPr="00353A34">
        <w:rPr>
          <w:b/>
          <w:bCs/>
        </w:rPr>
        <w:t>sous-traitance ciblée</w:t>
      </w:r>
      <w:r w:rsidRPr="00353A34">
        <w:t>.</w:t>
      </w:r>
    </w:p>
    <w:p w14:paraId="35BAE99C" w14:textId="77777777" w:rsidR="00353A34" w:rsidRPr="00353A34" w:rsidRDefault="00353A34" w:rsidP="00353A34">
      <w:pPr>
        <w:numPr>
          <w:ilvl w:val="0"/>
          <w:numId w:val="20"/>
        </w:numPr>
      </w:pPr>
      <w:r w:rsidRPr="00353A34">
        <w:t>L’écart de rémunération entre fonctions techniques et fonctions support s’élargit : +35 % en moyenne dans les profils IA/Cloud par rapport aux fonctions finance ou RH.</w:t>
      </w:r>
    </w:p>
    <w:p w14:paraId="5EA0E774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les coûts salariaux IT deviennent un </w:t>
      </w:r>
      <w:r w:rsidRPr="00353A34">
        <w:rPr>
          <w:b/>
          <w:bCs/>
        </w:rPr>
        <w:t>levier stratégique</w:t>
      </w:r>
      <w:r w:rsidRPr="00353A34">
        <w:t xml:space="preserve">, nécessitant des politiques RH mêlant fidélisation, </w:t>
      </w:r>
      <w:proofErr w:type="spellStart"/>
      <w:r w:rsidRPr="00353A34">
        <w:t>upskilling</w:t>
      </w:r>
      <w:proofErr w:type="spellEnd"/>
      <w:r w:rsidRPr="00353A34">
        <w:t xml:space="preserve"> et automatisation.</w:t>
      </w:r>
    </w:p>
    <w:p w14:paraId="5DDC288D" w14:textId="77777777" w:rsidR="00353A34" w:rsidRPr="00353A34" w:rsidRDefault="00353A34" w:rsidP="00353A34">
      <w:r w:rsidRPr="00353A34">
        <w:pict w14:anchorId="1CF75ADB">
          <v:rect id="_x0000_i1102" style="width:0;height:1.5pt" o:hralign="center" o:hrstd="t" o:hr="t" fillcolor="#a0a0a0" stroked="f"/>
        </w:pict>
      </w:r>
    </w:p>
    <w:p w14:paraId="620C9A23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5. Durabilité, régulation et fiscalité numérique</w:t>
      </w:r>
    </w:p>
    <w:p w14:paraId="188226A8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Commission européenne, ANSSI, Uptime Institute, Le Monde Informatique, 2025</w:t>
      </w:r>
    </w:p>
    <w:p w14:paraId="5411AAC2" w14:textId="77777777" w:rsidR="00353A34" w:rsidRPr="00353A34" w:rsidRDefault="00353A34" w:rsidP="00353A34">
      <w:r w:rsidRPr="00353A34">
        <w:t>La transition énergétique et réglementaire pèse sur les coûts :</w:t>
      </w:r>
    </w:p>
    <w:p w14:paraId="44D0C95D" w14:textId="77777777" w:rsidR="00353A34" w:rsidRPr="00353A34" w:rsidRDefault="00353A34" w:rsidP="00353A34">
      <w:pPr>
        <w:numPr>
          <w:ilvl w:val="0"/>
          <w:numId w:val="21"/>
        </w:numPr>
      </w:pPr>
      <w:r w:rsidRPr="00353A34">
        <w:t xml:space="preserve">Le </w:t>
      </w:r>
      <w:r w:rsidRPr="00353A34">
        <w:rPr>
          <w:b/>
          <w:bCs/>
        </w:rPr>
        <w:t xml:space="preserve">Data </w:t>
      </w:r>
      <w:proofErr w:type="spellStart"/>
      <w:r w:rsidRPr="00353A34">
        <w:rPr>
          <w:b/>
          <w:bCs/>
        </w:rPr>
        <w:t>Act</w:t>
      </w:r>
      <w:proofErr w:type="spellEnd"/>
      <w:r w:rsidRPr="00353A34">
        <w:rPr>
          <w:b/>
          <w:bCs/>
        </w:rPr>
        <w:t xml:space="preserve"> (2025)</w:t>
      </w:r>
      <w:r w:rsidRPr="00353A34">
        <w:t xml:space="preserve"> impose la </w:t>
      </w:r>
      <w:r w:rsidRPr="00353A34">
        <w:rPr>
          <w:b/>
          <w:bCs/>
        </w:rPr>
        <w:t>réversibilité contractuelle</w:t>
      </w:r>
      <w:r w:rsidRPr="00353A34">
        <w:t xml:space="preserve"> et la </w:t>
      </w:r>
      <w:r w:rsidRPr="00353A34">
        <w:rPr>
          <w:b/>
          <w:bCs/>
        </w:rPr>
        <w:t>portabilité des données</w:t>
      </w:r>
      <w:r w:rsidRPr="00353A34">
        <w:t>, générant de nouveaux coûts de conformité.</w:t>
      </w:r>
    </w:p>
    <w:p w14:paraId="18C9DC6A" w14:textId="77777777" w:rsidR="00353A34" w:rsidRPr="00353A34" w:rsidRDefault="00353A34" w:rsidP="00353A34">
      <w:pPr>
        <w:numPr>
          <w:ilvl w:val="0"/>
          <w:numId w:val="21"/>
        </w:numPr>
      </w:pPr>
      <w:r w:rsidRPr="00353A34">
        <w:t xml:space="preserve">La </w:t>
      </w:r>
      <w:r w:rsidRPr="00353A34">
        <w:rPr>
          <w:b/>
          <w:bCs/>
        </w:rPr>
        <w:t>réglementation européenne sur l’eau</w:t>
      </w:r>
      <w:r w:rsidRPr="00353A34">
        <w:t xml:space="preserve"> (prévue pour 2026) contraint les datacenters à réduire leurs prélèvements et à installer des </w:t>
      </w:r>
      <w:r w:rsidRPr="00353A34">
        <w:rPr>
          <w:b/>
          <w:bCs/>
        </w:rPr>
        <w:t>capteurs IoT</w:t>
      </w:r>
      <w:r w:rsidRPr="00353A34">
        <w:t>.</w:t>
      </w:r>
    </w:p>
    <w:p w14:paraId="13198A01" w14:textId="77777777" w:rsidR="00353A34" w:rsidRPr="00353A34" w:rsidRDefault="00353A34" w:rsidP="00353A34">
      <w:pPr>
        <w:numPr>
          <w:ilvl w:val="0"/>
          <w:numId w:val="21"/>
        </w:numPr>
      </w:pPr>
      <w:r w:rsidRPr="00353A34">
        <w:t>Les audits ESG deviennent obligatoires pour les opérateurs cloud soumis à reporting extra-financier (CSRD).</w:t>
      </w:r>
    </w:p>
    <w:p w14:paraId="55D00461" w14:textId="77777777" w:rsidR="00353A34" w:rsidRPr="00353A34" w:rsidRDefault="00353A34" w:rsidP="00353A34">
      <w:pPr>
        <w:numPr>
          <w:ilvl w:val="0"/>
          <w:numId w:val="21"/>
        </w:numPr>
      </w:pPr>
      <w:r w:rsidRPr="00353A34">
        <w:t>Les investissements “verts” (refroidissement liquide, recyclage d’eau) s’imposent pour maintenir la conformité réglementaire.</w:t>
      </w:r>
    </w:p>
    <w:p w14:paraId="2844EA09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les </w:t>
      </w:r>
      <w:r w:rsidRPr="00353A34">
        <w:rPr>
          <w:b/>
          <w:bCs/>
        </w:rPr>
        <w:t>coûts de conformité et de durabilité</w:t>
      </w:r>
      <w:r w:rsidRPr="00353A34">
        <w:t xml:space="preserve"> deviennent une composante permanente des budgets IT et nécessitent une </w:t>
      </w:r>
      <w:r w:rsidRPr="00353A34">
        <w:rPr>
          <w:b/>
          <w:bCs/>
        </w:rPr>
        <w:t>planification pluriannuelle</w:t>
      </w:r>
      <w:r w:rsidRPr="00353A34">
        <w:t>.</w:t>
      </w:r>
    </w:p>
    <w:p w14:paraId="76D32B37" w14:textId="77777777" w:rsidR="00353A34" w:rsidRPr="00353A34" w:rsidRDefault="00353A34" w:rsidP="00353A34">
      <w:r w:rsidRPr="00353A34">
        <w:pict w14:anchorId="5865559B">
          <v:rect id="_x0000_i1103" style="width:0;height:1.5pt" o:hralign="center" o:hrstd="t" o:hr="t" fillcolor="#a0a0a0" stroked="f"/>
        </w:pict>
      </w:r>
    </w:p>
    <w:p w14:paraId="1E2DD5EB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6. ERP, automatisation et retour sur investissement</w:t>
      </w:r>
    </w:p>
    <w:p w14:paraId="5F745270" w14:textId="77777777" w:rsidR="00353A34" w:rsidRPr="00353A34" w:rsidRDefault="00353A34" w:rsidP="00353A34">
      <w:r w:rsidRPr="00353A34">
        <w:rPr>
          <w:b/>
          <w:bCs/>
        </w:rPr>
        <w:t>Sources :</w:t>
      </w:r>
      <w:r w:rsidRPr="00353A34">
        <w:t xml:space="preserve"> HPE, Cegid, SAP, Le Monde Informatique, 2025</w:t>
      </w:r>
    </w:p>
    <w:p w14:paraId="0C8B8A20" w14:textId="77777777" w:rsidR="00353A34" w:rsidRPr="00353A34" w:rsidRDefault="00353A34" w:rsidP="00353A34">
      <w:r w:rsidRPr="00353A34">
        <w:t>La modernisation des ERP poursuit sa montée en puissance :</w:t>
      </w:r>
    </w:p>
    <w:p w14:paraId="603EB5A1" w14:textId="77777777" w:rsidR="00353A34" w:rsidRPr="00353A34" w:rsidRDefault="00353A34" w:rsidP="00353A34">
      <w:pPr>
        <w:numPr>
          <w:ilvl w:val="0"/>
          <w:numId w:val="22"/>
        </w:numPr>
      </w:pPr>
      <w:r w:rsidRPr="00353A34">
        <w:t>L’intégration d’</w:t>
      </w:r>
      <w:r w:rsidRPr="00353A34">
        <w:rPr>
          <w:b/>
          <w:bCs/>
        </w:rPr>
        <w:t>IA générative</w:t>
      </w:r>
      <w:r w:rsidRPr="00353A34">
        <w:t xml:space="preserve"> dans les ERP (prévisions, rapprochements, automatisation comptable) génère des gains de productivité, mais un </w:t>
      </w:r>
      <w:r w:rsidRPr="00353A34">
        <w:rPr>
          <w:b/>
          <w:bCs/>
        </w:rPr>
        <w:t>ROI différé</w:t>
      </w:r>
      <w:r w:rsidRPr="00353A34">
        <w:t xml:space="preserve"> (2 à 3 ans).</w:t>
      </w:r>
    </w:p>
    <w:p w14:paraId="60CAD0AE" w14:textId="77777777" w:rsidR="00353A34" w:rsidRPr="00353A34" w:rsidRDefault="00353A34" w:rsidP="00353A34">
      <w:pPr>
        <w:numPr>
          <w:ilvl w:val="0"/>
          <w:numId w:val="22"/>
        </w:numPr>
      </w:pPr>
      <w:r w:rsidRPr="00353A34">
        <w:t>Les éditeurs français (Cegid, EBP) centralisent leurs sites pour réduire les coûts de structure.</w:t>
      </w:r>
    </w:p>
    <w:p w14:paraId="5FB49254" w14:textId="77777777" w:rsidR="00353A34" w:rsidRPr="00353A34" w:rsidRDefault="00353A34" w:rsidP="00353A34">
      <w:pPr>
        <w:numPr>
          <w:ilvl w:val="0"/>
          <w:numId w:val="22"/>
        </w:numPr>
      </w:pPr>
      <w:r w:rsidRPr="00353A34">
        <w:t xml:space="preserve">Le passage au </w:t>
      </w:r>
      <w:r w:rsidRPr="00353A34">
        <w:rPr>
          <w:b/>
          <w:bCs/>
        </w:rPr>
        <w:t>cloud ERP</w:t>
      </w:r>
      <w:r w:rsidRPr="00353A34">
        <w:t xml:space="preserve"> se justifie moins par les économies immédiates que par la </w:t>
      </w:r>
      <w:r w:rsidRPr="00353A34">
        <w:rPr>
          <w:b/>
          <w:bCs/>
        </w:rPr>
        <w:t>souplesse et la conformité réglementaire</w:t>
      </w:r>
      <w:r w:rsidRPr="00353A34">
        <w:t>.</w:t>
      </w:r>
    </w:p>
    <w:p w14:paraId="2D5E88AB" w14:textId="77777777" w:rsidR="00353A34" w:rsidRPr="00353A34" w:rsidRDefault="00353A34" w:rsidP="00353A34">
      <w:r w:rsidRPr="00353A34">
        <w:rPr>
          <w:b/>
          <w:bCs/>
        </w:rPr>
        <w:t>À retenir :</w:t>
      </w:r>
      <w:r w:rsidRPr="00353A34">
        <w:t xml:space="preserve"> le coût des ERP devient </w:t>
      </w:r>
      <w:r w:rsidRPr="00353A34">
        <w:rPr>
          <w:b/>
          <w:bCs/>
        </w:rPr>
        <w:t>investissement stratégique</w:t>
      </w:r>
      <w:r w:rsidRPr="00353A34">
        <w:t xml:space="preserve"> : les entreprises qui modernisent leur système gagnent en adaptabilité et conformité à moyen terme.</w:t>
      </w:r>
    </w:p>
    <w:p w14:paraId="1EADCE08" w14:textId="77777777" w:rsidR="00353A34" w:rsidRPr="00353A34" w:rsidRDefault="00353A34" w:rsidP="00353A34">
      <w:r w:rsidRPr="00353A34">
        <w:pict w14:anchorId="4291F12D">
          <v:rect id="_x0000_i1104" style="width:0;height:1.5pt" o:hralign="center" o:hrstd="t" o:hr="t" fillcolor="#a0a0a0" stroked="f"/>
        </w:pict>
      </w:r>
    </w:p>
    <w:p w14:paraId="0CC5CE71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7. Tendances globales 2025–2027</w:t>
      </w:r>
    </w:p>
    <w:p w14:paraId="1B8D8E1C" w14:textId="77777777" w:rsidR="00353A34" w:rsidRPr="00353A34" w:rsidRDefault="00353A34" w:rsidP="00353A34">
      <w:pPr>
        <w:numPr>
          <w:ilvl w:val="0"/>
          <w:numId w:val="23"/>
        </w:numPr>
      </w:pPr>
      <w:r w:rsidRPr="00353A34">
        <w:rPr>
          <w:b/>
          <w:bCs/>
        </w:rPr>
        <w:lastRenderedPageBreak/>
        <w:t>Inflation technologique durable</w:t>
      </w:r>
      <w:r w:rsidRPr="00353A34">
        <w:t xml:space="preserve"> : IA, cybersécurité et énergie tirent les coûts vers le haut.</w:t>
      </w:r>
    </w:p>
    <w:p w14:paraId="20917F79" w14:textId="77777777" w:rsidR="00353A34" w:rsidRPr="00353A34" w:rsidRDefault="00353A34" w:rsidP="00353A34">
      <w:pPr>
        <w:numPr>
          <w:ilvl w:val="0"/>
          <w:numId w:val="23"/>
        </w:numPr>
      </w:pPr>
      <w:proofErr w:type="spellStart"/>
      <w:r w:rsidRPr="00353A34">
        <w:rPr>
          <w:b/>
          <w:bCs/>
        </w:rPr>
        <w:t>FinOps</w:t>
      </w:r>
      <w:proofErr w:type="spellEnd"/>
      <w:r w:rsidRPr="00353A34">
        <w:rPr>
          <w:b/>
          <w:bCs/>
        </w:rPr>
        <w:t xml:space="preserve"> + </w:t>
      </w:r>
      <w:proofErr w:type="spellStart"/>
      <w:r w:rsidRPr="00353A34">
        <w:rPr>
          <w:b/>
          <w:bCs/>
        </w:rPr>
        <w:t>GreenOps</w:t>
      </w:r>
      <w:proofErr w:type="spellEnd"/>
      <w:r w:rsidRPr="00353A34">
        <w:t xml:space="preserve"> : double pilotage économique et environnemental.</w:t>
      </w:r>
    </w:p>
    <w:p w14:paraId="08D3FA62" w14:textId="77777777" w:rsidR="00353A34" w:rsidRPr="00353A34" w:rsidRDefault="00353A34" w:rsidP="00353A34">
      <w:pPr>
        <w:numPr>
          <w:ilvl w:val="0"/>
          <w:numId w:val="23"/>
        </w:numPr>
      </w:pPr>
      <w:r w:rsidRPr="00353A34">
        <w:rPr>
          <w:b/>
          <w:bCs/>
        </w:rPr>
        <w:t xml:space="preserve">Réglementations (Data </w:t>
      </w:r>
      <w:proofErr w:type="spellStart"/>
      <w:r w:rsidRPr="00353A34">
        <w:rPr>
          <w:b/>
          <w:bCs/>
        </w:rPr>
        <w:t>Act</w:t>
      </w:r>
      <w:proofErr w:type="spellEnd"/>
      <w:r w:rsidRPr="00353A34">
        <w:rPr>
          <w:b/>
          <w:bCs/>
        </w:rPr>
        <w:t xml:space="preserve">, AI </w:t>
      </w:r>
      <w:proofErr w:type="spellStart"/>
      <w:r w:rsidRPr="00353A34">
        <w:rPr>
          <w:b/>
          <w:bCs/>
        </w:rPr>
        <w:t>Act</w:t>
      </w:r>
      <w:proofErr w:type="spellEnd"/>
      <w:r w:rsidRPr="00353A34">
        <w:rPr>
          <w:b/>
          <w:bCs/>
        </w:rPr>
        <w:t>, CSRD)</w:t>
      </w:r>
      <w:r w:rsidRPr="00353A34">
        <w:t xml:space="preserve"> : intégration du juridique dans les budgets.</w:t>
      </w:r>
    </w:p>
    <w:p w14:paraId="473948A2" w14:textId="77777777" w:rsidR="00353A34" w:rsidRPr="00353A34" w:rsidRDefault="00353A34" w:rsidP="00353A34">
      <w:pPr>
        <w:numPr>
          <w:ilvl w:val="0"/>
          <w:numId w:val="23"/>
        </w:numPr>
      </w:pPr>
      <w:r w:rsidRPr="00353A34">
        <w:rPr>
          <w:b/>
          <w:bCs/>
        </w:rPr>
        <w:t>Formation et R&amp;D</w:t>
      </w:r>
      <w:r w:rsidRPr="00353A34">
        <w:t xml:space="preserve"> : priorisation de l’investissement humain face à la pénurie.</w:t>
      </w:r>
    </w:p>
    <w:p w14:paraId="7BA4502E" w14:textId="77777777" w:rsidR="00353A34" w:rsidRPr="00353A34" w:rsidRDefault="00353A34" w:rsidP="00353A34">
      <w:pPr>
        <w:numPr>
          <w:ilvl w:val="0"/>
          <w:numId w:val="23"/>
        </w:numPr>
      </w:pPr>
      <w:r w:rsidRPr="00353A34">
        <w:rPr>
          <w:b/>
          <w:bCs/>
        </w:rPr>
        <w:t>Externalisation ciblée</w:t>
      </w:r>
      <w:r w:rsidRPr="00353A34">
        <w:t xml:space="preserve"> : recours accru à des prestataires européens pour maîtriser les coûts de conformité.</w:t>
      </w:r>
    </w:p>
    <w:p w14:paraId="69A4F30A" w14:textId="77777777" w:rsidR="00353A34" w:rsidRPr="00353A34" w:rsidRDefault="00353A34" w:rsidP="00353A34">
      <w:r w:rsidRPr="00353A34">
        <w:pict w14:anchorId="73DE2B54">
          <v:rect id="_x0000_i1105" style="width:0;height:1.5pt" o:hralign="center" o:hrstd="t" o:hr="t" fillcolor="#a0a0a0" stroked="f"/>
        </w:pict>
      </w:r>
    </w:p>
    <w:p w14:paraId="780CAA0F" w14:textId="77777777" w:rsidR="00353A34" w:rsidRPr="00353A34" w:rsidRDefault="00353A34" w:rsidP="00353A34">
      <w:pPr>
        <w:rPr>
          <w:b/>
          <w:bCs/>
        </w:rPr>
      </w:pPr>
      <w:r w:rsidRPr="00353A34">
        <w:rPr>
          <w:b/>
          <w:bCs/>
        </w:rPr>
        <w:t>Bibliographie sélective (2025)</w:t>
      </w:r>
    </w:p>
    <w:p w14:paraId="18E50314" w14:textId="77777777" w:rsidR="00353A34" w:rsidRPr="00353A34" w:rsidRDefault="00353A34" w:rsidP="00353A34">
      <w:pPr>
        <w:numPr>
          <w:ilvl w:val="0"/>
          <w:numId w:val="24"/>
        </w:numPr>
        <w:rPr>
          <w:lang w:val="en-GB"/>
        </w:rPr>
      </w:pPr>
      <w:r w:rsidRPr="00353A34">
        <w:rPr>
          <w:b/>
          <w:bCs/>
          <w:lang w:val="en-GB"/>
        </w:rPr>
        <w:t>Goldman Sachs (2025)</w:t>
      </w:r>
      <w:r w:rsidRPr="00353A34">
        <w:rPr>
          <w:lang w:val="en-GB"/>
        </w:rPr>
        <w:t xml:space="preserve"> – </w:t>
      </w:r>
      <w:r w:rsidRPr="00353A34">
        <w:rPr>
          <w:i/>
          <w:iCs/>
          <w:lang w:val="en-GB"/>
        </w:rPr>
        <w:t xml:space="preserve">How AI Is Transforming Data </w:t>
      </w:r>
      <w:proofErr w:type="spellStart"/>
      <w:r w:rsidRPr="00353A34">
        <w:rPr>
          <w:i/>
          <w:iCs/>
          <w:lang w:val="en-GB"/>
        </w:rPr>
        <w:t>Centers</w:t>
      </w:r>
      <w:proofErr w:type="spellEnd"/>
      <w:r w:rsidRPr="00353A34">
        <w:rPr>
          <w:i/>
          <w:iCs/>
          <w:lang w:val="en-GB"/>
        </w:rPr>
        <w:t xml:space="preserve"> and Power Demand</w:t>
      </w:r>
      <w:r w:rsidRPr="00353A34">
        <w:rPr>
          <w:lang w:val="en-GB"/>
        </w:rPr>
        <w:t>.</w:t>
      </w:r>
    </w:p>
    <w:p w14:paraId="24B3D309" w14:textId="77777777" w:rsidR="00353A34" w:rsidRPr="00353A34" w:rsidRDefault="00353A34" w:rsidP="00353A34">
      <w:pPr>
        <w:numPr>
          <w:ilvl w:val="0"/>
          <w:numId w:val="24"/>
        </w:numPr>
        <w:rPr>
          <w:lang w:val="it-IT"/>
        </w:rPr>
      </w:pPr>
      <w:r w:rsidRPr="00353A34">
        <w:rPr>
          <w:b/>
          <w:bCs/>
          <w:lang w:val="it-IT"/>
        </w:rPr>
        <w:t>CBRE (2025)</w:t>
      </w:r>
      <w:r w:rsidRPr="00353A34">
        <w:rPr>
          <w:lang w:val="it-IT"/>
        </w:rPr>
        <w:t xml:space="preserve"> – </w:t>
      </w:r>
      <w:r w:rsidRPr="00353A34">
        <w:rPr>
          <w:i/>
          <w:iCs/>
          <w:lang w:val="it-IT"/>
        </w:rPr>
        <w:t>Global Data Center Trends 2025</w:t>
      </w:r>
      <w:r w:rsidRPr="00353A34">
        <w:rPr>
          <w:lang w:val="it-IT"/>
        </w:rPr>
        <w:t>.</w:t>
      </w:r>
    </w:p>
    <w:p w14:paraId="21B3BFA9" w14:textId="77777777" w:rsidR="00353A34" w:rsidRPr="00353A34" w:rsidRDefault="00353A34" w:rsidP="00353A34">
      <w:pPr>
        <w:numPr>
          <w:ilvl w:val="0"/>
          <w:numId w:val="24"/>
        </w:numPr>
      </w:pPr>
      <w:r w:rsidRPr="00353A34">
        <w:rPr>
          <w:b/>
          <w:bCs/>
        </w:rPr>
        <w:t>Commission européenne (2025)</w:t>
      </w:r>
      <w:r w:rsidRPr="00353A34">
        <w:t xml:space="preserve"> – </w:t>
      </w:r>
      <w:r w:rsidRPr="00353A34">
        <w:rPr>
          <w:i/>
          <w:iCs/>
        </w:rPr>
        <w:t xml:space="preserve">Data </w:t>
      </w:r>
      <w:proofErr w:type="spellStart"/>
      <w:r w:rsidRPr="00353A34">
        <w:rPr>
          <w:i/>
          <w:iCs/>
        </w:rPr>
        <w:t>Act</w:t>
      </w:r>
      <w:proofErr w:type="spellEnd"/>
      <w:r w:rsidRPr="00353A34">
        <w:rPr>
          <w:i/>
          <w:iCs/>
        </w:rPr>
        <w:t xml:space="preserve"> et directives associées</w:t>
      </w:r>
      <w:r w:rsidRPr="00353A34">
        <w:t>.</w:t>
      </w:r>
    </w:p>
    <w:p w14:paraId="07CC8380" w14:textId="77777777" w:rsidR="00353A34" w:rsidRPr="00353A34" w:rsidRDefault="00353A34" w:rsidP="00353A34">
      <w:pPr>
        <w:numPr>
          <w:ilvl w:val="0"/>
          <w:numId w:val="24"/>
        </w:numPr>
      </w:pPr>
      <w:r w:rsidRPr="00353A34">
        <w:rPr>
          <w:b/>
          <w:bCs/>
        </w:rPr>
        <w:t>Le Monde Informatique (2025)</w:t>
      </w:r>
      <w:r w:rsidRPr="00353A34">
        <w:t xml:space="preserve"> – Dossiers </w:t>
      </w:r>
      <w:r w:rsidRPr="00353A34">
        <w:rPr>
          <w:i/>
          <w:iCs/>
        </w:rPr>
        <w:t>Coûts, énergie et IA</w:t>
      </w:r>
      <w:r w:rsidRPr="00353A34">
        <w:t xml:space="preserve"> ; </w:t>
      </w:r>
      <w:r w:rsidRPr="00353A34">
        <w:rPr>
          <w:i/>
          <w:iCs/>
        </w:rPr>
        <w:t>Budget IT et durabilité</w:t>
      </w:r>
      <w:r w:rsidRPr="00353A34">
        <w:t>.</w:t>
      </w:r>
    </w:p>
    <w:p w14:paraId="4BDD7574" w14:textId="77777777" w:rsidR="00353A34" w:rsidRPr="00353A34" w:rsidRDefault="00353A34" w:rsidP="00353A34">
      <w:pPr>
        <w:numPr>
          <w:ilvl w:val="0"/>
          <w:numId w:val="24"/>
        </w:numPr>
      </w:pPr>
      <w:r w:rsidRPr="00353A34">
        <w:rPr>
          <w:b/>
          <w:bCs/>
        </w:rPr>
        <w:t>Uptime Institute (2025)</w:t>
      </w:r>
      <w:r w:rsidRPr="00353A34">
        <w:t xml:space="preserve"> – </w:t>
      </w:r>
      <w:r w:rsidRPr="00353A34">
        <w:rPr>
          <w:i/>
          <w:iCs/>
        </w:rPr>
        <w:t>Global Data Center Sustainability Report</w:t>
      </w:r>
      <w:r w:rsidRPr="00353A34">
        <w:t>.</w:t>
      </w:r>
    </w:p>
    <w:p w14:paraId="09EFC693" w14:textId="77777777" w:rsidR="00353A34" w:rsidRPr="00353A34" w:rsidRDefault="00353A34" w:rsidP="00353A34">
      <w:pPr>
        <w:numPr>
          <w:ilvl w:val="0"/>
          <w:numId w:val="24"/>
        </w:numPr>
      </w:pPr>
      <w:r w:rsidRPr="00353A34">
        <w:rPr>
          <w:b/>
          <w:bCs/>
        </w:rPr>
        <w:t>HPE / Cegid (2025)</w:t>
      </w:r>
      <w:r w:rsidRPr="00353A34">
        <w:t xml:space="preserve"> – </w:t>
      </w:r>
      <w:r w:rsidRPr="00353A34">
        <w:rPr>
          <w:i/>
          <w:iCs/>
        </w:rPr>
        <w:t>Modernisation des ERP et automatisation intelligente</w:t>
      </w:r>
      <w:r w:rsidRPr="00353A34">
        <w:t>.</w:t>
      </w:r>
    </w:p>
    <w:p w14:paraId="354E3D43" w14:textId="77777777" w:rsidR="001E273A" w:rsidRPr="00353A34" w:rsidRDefault="001E273A" w:rsidP="00353A34"/>
    <w:sectPr w:rsidR="001E273A" w:rsidRPr="00353A34" w:rsidSect="004D247E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6914B" w14:textId="77777777" w:rsidR="001034A4" w:rsidRDefault="001034A4" w:rsidP="004C7BF0">
      <w:r>
        <w:separator/>
      </w:r>
    </w:p>
  </w:endnote>
  <w:endnote w:type="continuationSeparator" w:id="0">
    <w:p w14:paraId="27352C5D" w14:textId="77777777" w:rsidR="001034A4" w:rsidRDefault="001034A4" w:rsidP="004C7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620090">
    <w:pPr>
      <w:pStyle w:val="Pieddepage"/>
      <w:tabs>
        <w:tab w:val="clear" w:pos="9072"/>
        <w:tab w:val="right" w:pos="1020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B4DEF" w14:textId="77777777" w:rsidR="001034A4" w:rsidRDefault="001034A4" w:rsidP="004C7BF0">
      <w:r>
        <w:separator/>
      </w:r>
    </w:p>
  </w:footnote>
  <w:footnote w:type="continuationSeparator" w:id="0">
    <w:p w14:paraId="5C1D0919" w14:textId="77777777" w:rsidR="001034A4" w:rsidRDefault="001034A4" w:rsidP="004C7B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722"/>
    <w:multiLevelType w:val="multilevel"/>
    <w:tmpl w:val="63A8A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330F9"/>
    <w:multiLevelType w:val="multilevel"/>
    <w:tmpl w:val="05760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324E2"/>
    <w:multiLevelType w:val="multilevel"/>
    <w:tmpl w:val="428A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CA2947"/>
    <w:multiLevelType w:val="multilevel"/>
    <w:tmpl w:val="870E8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A44244"/>
    <w:multiLevelType w:val="multilevel"/>
    <w:tmpl w:val="E3C0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203E47"/>
    <w:multiLevelType w:val="multilevel"/>
    <w:tmpl w:val="B1DA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5D5713"/>
    <w:multiLevelType w:val="multilevel"/>
    <w:tmpl w:val="619E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D33CA7"/>
    <w:multiLevelType w:val="multilevel"/>
    <w:tmpl w:val="1E1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D1C5A"/>
    <w:multiLevelType w:val="multilevel"/>
    <w:tmpl w:val="DBC6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BF2AA0"/>
    <w:multiLevelType w:val="multilevel"/>
    <w:tmpl w:val="DCB4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A57B01"/>
    <w:multiLevelType w:val="multilevel"/>
    <w:tmpl w:val="72F49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6A4FC5"/>
    <w:multiLevelType w:val="multilevel"/>
    <w:tmpl w:val="F3581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88407E"/>
    <w:multiLevelType w:val="multilevel"/>
    <w:tmpl w:val="DDFA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31019A"/>
    <w:multiLevelType w:val="multilevel"/>
    <w:tmpl w:val="51F8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DD0C31"/>
    <w:multiLevelType w:val="multilevel"/>
    <w:tmpl w:val="ABD0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1C61D9"/>
    <w:multiLevelType w:val="multilevel"/>
    <w:tmpl w:val="3B26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A1320"/>
    <w:multiLevelType w:val="multilevel"/>
    <w:tmpl w:val="B7FE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49730E"/>
    <w:multiLevelType w:val="multilevel"/>
    <w:tmpl w:val="40709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0A21BC"/>
    <w:multiLevelType w:val="multilevel"/>
    <w:tmpl w:val="C7E4E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736464"/>
    <w:multiLevelType w:val="multilevel"/>
    <w:tmpl w:val="3AFE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BA67B5"/>
    <w:multiLevelType w:val="multilevel"/>
    <w:tmpl w:val="95148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5"/>
  </w:num>
  <w:num w:numId="2" w16cid:durableId="1969772821">
    <w:abstractNumId w:val="5"/>
  </w:num>
  <w:num w:numId="3" w16cid:durableId="993755049">
    <w:abstractNumId w:val="12"/>
  </w:num>
  <w:num w:numId="4" w16cid:durableId="88350905">
    <w:abstractNumId w:val="23"/>
  </w:num>
  <w:num w:numId="5" w16cid:durableId="1259873310">
    <w:abstractNumId w:val="0"/>
  </w:num>
  <w:num w:numId="6" w16cid:durableId="940913695">
    <w:abstractNumId w:val="11"/>
  </w:num>
  <w:num w:numId="7" w16cid:durableId="816412162">
    <w:abstractNumId w:val="13"/>
  </w:num>
  <w:num w:numId="8" w16cid:durableId="164636122">
    <w:abstractNumId w:val="20"/>
  </w:num>
  <w:num w:numId="9" w16cid:durableId="1391228641">
    <w:abstractNumId w:val="9"/>
  </w:num>
  <w:num w:numId="10" w16cid:durableId="1693265206">
    <w:abstractNumId w:val="7"/>
  </w:num>
  <w:num w:numId="11" w16cid:durableId="1273130144">
    <w:abstractNumId w:val="4"/>
  </w:num>
  <w:num w:numId="12" w16cid:durableId="1490556548">
    <w:abstractNumId w:val="19"/>
  </w:num>
  <w:num w:numId="13" w16cid:durableId="1488012275">
    <w:abstractNumId w:val="18"/>
  </w:num>
  <w:num w:numId="14" w16cid:durableId="669020599">
    <w:abstractNumId w:val="2"/>
  </w:num>
  <w:num w:numId="15" w16cid:durableId="818350440">
    <w:abstractNumId w:val="14"/>
  </w:num>
  <w:num w:numId="16" w16cid:durableId="1939824947">
    <w:abstractNumId w:val="22"/>
  </w:num>
  <w:num w:numId="17" w16cid:durableId="1037586237">
    <w:abstractNumId w:val="8"/>
  </w:num>
  <w:num w:numId="18" w16cid:durableId="411700347">
    <w:abstractNumId w:val="6"/>
  </w:num>
  <w:num w:numId="19" w16cid:durableId="2094468978">
    <w:abstractNumId w:val="17"/>
  </w:num>
  <w:num w:numId="20" w16cid:durableId="1238244246">
    <w:abstractNumId w:val="10"/>
  </w:num>
  <w:num w:numId="21" w16cid:durableId="1528984029">
    <w:abstractNumId w:val="21"/>
  </w:num>
  <w:num w:numId="22" w16cid:durableId="869104618">
    <w:abstractNumId w:val="1"/>
  </w:num>
  <w:num w:numId="23" w16cid:durableId="616644704">
    <w:abstractNumId w:val="3"/>
  </w:num>
  <w:num w:numId="24" w16cid:durableId="6306702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0F1A"/>
    <w:rsid w:val="0007241A"/>
    <w:rsid w:val="001034A4"/>
    <w:rsid w:val="00135CDD"/>
    <w:rsid w:val="001D0EEB"/>
    <w:rsid w:val="001E273A"/>
    <w:rsid w:val="00316764"/>
    <w:rsid w:val="003276BD"/>
    <w:rsid w:val="00346F55"/>
    <w:rsid w:val="00353A34"/>
    <w:rsid w:val="0044368F"/>
    <w:rsid w:val="004A6242"/>
    <w:rsid w:val="004C7BF0"/>
    <w:rsid w:val="004D247E"/>
    <w:rsid w:val="005172DB"/>
    <w:rsid w:val="005453AD"/>
    <w:rsid w:val="00580F46"/>
    <w:rsid w:val="00620090"/>
    <w:rsid w:val="006460AB"/>
    <w:rsid w:val="00677D09"/>
    <w:rsid w:val="006B7971"/>
    <w:rsid w:val="00713AC4"/>
    <w:rsid w:val="007C05B7"/>
    <w:rsid w:val="00830A03"/>
    <w:rsid w:val="008608D3"/>
    <w:rsid w:val="00964131"/>
    <w:rsid w:val="00965BD9"/>
    <w:rsid w:val="00B649B3"/>
    <w:rsid w:val="00CA4633"/>
    <w:rsid w:val="00CE15A3"/>
    <w:rsid w:val="00D016DC"/>
    <w:rsid w:val="00E72503"/>
    <w:rsid w:val="00F47F65"/>
    <w:rsid w:val="00F71310"/>
    <w:rsid w:val="00FA7207"/>
    <w:rsid w:val="00FC180F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BF0"/>
    <w:pPr>
      <w:spacing w:after="120" w:line="240" w:lineRule="auto"/>
      <w:jc w:val="both"/>
    </w:pPr>
    <w:rPr>
      <w:rFonts w:ascii="Calibri" w:eastAsia="Times New Roman" w:hAnsi="Calibri" w:cs="Calibri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C7BF0"/>
    <w:pPr>
      <w:keepNext/>
      <w:keepLines/>
      <w:spacing w:before="120"/>
      <w:outlineLvl w:val="0"/>
    </w:pPr>
    <w:rPr>
      <w:rFonts w:asciiTheme="majorHAnsi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C7BF0"/>
    <w:rPr>
      <w:rFonts w:asciiTheme="majorHAnsi" w:eastAsia="Times New Roman" w:hAnsiTheme="majorHAnsi" w:cstheme="majorBidi"/>
      <w:color w:val="0F4761" w:themeColor="accent1" w:themeShade="BF"/>
      <w:sz w:val="40"/>
      <w:szCs w:val="4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893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2024-10-21T05:24:00Z</cp:lastPrinted>
  <dcterms:created xsi:type="dcterms:W3CDTF">2024-11-16T09:25:00Z</dcterms:created>
  <dcterms:modified xsi:type="dcterms:W3CDTF">2025-10-17T05:49:00Z</dcterms:modified>
</cp:coreProperties>
</file>