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DF8C" w14:textId="77777777" w:rsidR="000362A2" w:rsidRPr="000362A2" w:rsidRDefault="000362A2" w:rsidP="000362A2">
      <w:pPr>
        <w:pStyle w:val="Titre1"/>
      </w:pPr>
      <w:r w:rsidRPr="000362A2">
        <w:t>Blockchain et Cryptomonnaies – Synthèse 2025 : régulation, sécurité et perspectives économiques</w:t>
      </w:r>
    </w:p>
    <w:p w14:paraId="0F6CE31B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1) Marché &amp; usages (2025)</w:t>
      </w:r>
    </w:p>
    <w:p w14:paraId="5F5130C7" w14:textId="77777777" w:rsidR="000362A2" w:rsidRPr="000362A2" w:rsidRDefault="000362A2" w:rsidP="000362A2">
      <w:pPr>
        <w:numPr>
          <w:ilvl w:val="0"/>
          <w:numId w:val="27"/>
        </w:numPr>
      </w:pPr>
      <w:r w:rsidRPr="000362A2">
        <w:rPr>
          <w:b/>
          <w:bCs/>
        </w:rPr>
        <w:t>Cycle 2025</w:t>
      </w:r>
      <w:r w:rsidRPr="000362A2">
        <w:t xml:space="preserve"> : après les chocs 2022–2023 (effondrements d’acteurs et assainissement), l’écosystème se </w:t>
      </w:r>
      <w:r w:rsidRPr="000362A2">
        <w:rPr>
          <w:b/>
          <w:bCs/>
        </w:rPr>
        <w:t>reconcentre</w:t>
      </w:r>
      <w:r w:rsidRPr="000362A2">
        <w:t xml:space="preserve"> autour d’infrastructures plus surveillées (bourses régulées, conservation qualifiée, </w:t>
      </w:r>
      <w:proofErr w:type="spellStart"/>
      <w:r w:rsidRPr="000362A2">
        <w:t>stablecoins</w:t>
      </w:r>
      <w:proofErr w:type="spellEnd"/>
      <w:r w:rsidRPr="000362A2">
        <w:t xml:space="preserve"> majeurs) et d’usages B2B (paiements, trésorerie </w:t>
      </w:r>
      <w:proofErr w:type="spellStart"/>
      <w:r w:rsidRPr="000362A2">
        <w:t>tokenisée</w:t>
      </w:r>
      <w:proofErr w:type="spellEnd"/>
      <w:r w:rsidRPr="000362A2">
        <w:t>, titres numériques).</w:t>
      </w:r>
    </w:p>
    <w:p w14:paraId="48C919B2" w14:textId="77777777" w:rsidR="000362A2" w:rsidRPr="000362A2" w:rsidRDefault="000362A2" w:rsidP="000362A2">
      <w:pPr>
        <w:numPr>
          <w:ilvl w:val="0"/>
          <w:numId w:val="27"/>
        </w:numPr>
      </w:pPr>
      <w:r w:rsidRPr="000362A2">
        <w:rPr>
          <w:b/>
          <w:bCs/>
        </w:rPr>
        <w:t>Tokenisation d’actifs</w:t>
      </w:r>
      <w:r w:rsidRPr="000362A2">
        <w:t xml:space="preserve"> : dynamique soutenue sur les </w:t>
      </w:r>
      <w:r w:rsidRPr="000362A2">
        <w:rPr>
          <w:b/>
          <w:bCs/>
        </w:rPr>
        <w:t>obligations/titres</w:t>
      </w:r>
      <w:r w:rsidRPr="000362A2">
        <w:t xml:space="preserve"> et parts de fonds </w:t>
      </w:r>
      <w:proofErr w:type="spellStart"/>
      <w:r w:rsidRPr="000362A2">
        <w:t>tokenisées</w:t>
      </w:r>
      <w:proofErr w:type="spellEnd"/>
      <w:r w:rsidRPr="000362A2">
        <w:t xml:space="preserve"> ; cas d’usage en règlement-livraison </w:t>
      </w:r>
      <w:r w:rsidRPr="000362A2">
        <w:rPr>
          <w:i/>
          <w:iCs/>
        </w:rPr>
        <w:t>on-chain</w:t>
      </w:r>
      <w:r w:rsidRPr="000362A2">
        <w:t xml:space="preserve"> et en collatéralisation.</w:t>
      </w:r>
    </w:p>
    <w:p w14:paraId="65EBAA43" w14:textId="77777777" w:rsidR="000362A2" w:rsidRPr="000362A2" w:rsidRDefault="000362A2" w:rsidP="000362A2">
      <w:pPr>
        <w:numPr>
          <w:ilvl w:val="0"/>
          <w:numId w:val="27"/>
        </w:numPr>
      </w:pPr>
      <w:r w:rsidRPr="000362A2">
        <w:rPr>
          <w:b/>
          <w:bCs/>
        </w:rPr>
        <w:t>Paiements</w:t>
      </w:r>
      <w:r w:rsidRPr="000362A2">
        <w:t xml:space="preserve"> : montée des </w:t>
      </w:r>
      <w:proofErr w:type="spellStart"/>
      <w:r w:rsidRPr="000362A2">
        <w:rPr>
          <w:b/>
          <w:bCs/>
        </w:rPr>
        <w:t>stablecoins</w:t>
      </w:r>
      <w:proofErr w:type="spellEnd"/>
      <w:r w:rsidRPr="000362A2">
        <w:rPr>
          <w:b/>
          <w:bCs/>
        </w:rPr>
        <w:t xml:space="preserve"> réglementés</w:t>
      </w:r>
      <w:r w:rsidRPr="000362A2">
        <w:t xml:space="preserve"> dans le e-commerce et les paiements transfrontaliers, avec exigences renforcées de conformité.</w:t>
      </w:r>
    </w:p>
    <w:p w14:paraId="1CEFBC0F" w14:textId="77777777" w:rsidR="000362A2" w:rsidRPr="000362A2" w:rsidRDefault="000362A2" w:rsidP="000362A2">
      <w:pPr>
        <w:numPr>
          <w:ilvl w:val="0"/>
          <w:numId w:val="27"/>
        </w:numPr>
      </w:pPr>
      <w:proofErr w:type="spellStart"/>
      <w:r w:rsidRPr="000362A2">
        <w:rPr>
          <w:b/>
          <w:bCs/>
        </w:rPr>
        <w:t>DeFi</w:t>
      </w:r>
      <w:proofErr w:type="spellEnd"/>
      <w:r w:rsidRPr="000362A2">
        <w:rPr>
          <w:b/>
          <w:bCs/>
        </w:rPr>
        <w:t xml:space="preserve"> « 2.0 »</w:t>
      </w:r>
      <w:r w:rsidRPr="000362A2">
        <w:t xml:space="preserve"> : projets privilégiant </w:t>
      </w:r>
      <w:r w:rsidRPr="000362A2">
        <w:rPr>
          <w:b/>
          <w:bCs/>
        </w:rPr>
        <w:t>preuves de réserves</w:t>
      </w:r>
      <w:r w:rsidRPr="000362A2">
        <w:t>, audits et mécanismes anti-abus ; gouvernance plus formalisée.</w:t>
      </w:r>
    </w:p>
    <w:p w14:paraId="340E5E9F" w14:textId="77777777" w:rsidR="000362A2" w:rsidRPr="000362A2" w:rsidRDefault="000362A2" w:rsidP="000362A2">
      <w:r w:rsidRPr="000362A2">
        <w:rPr>
          <w:b/>
          <w:bCs/>
        </w:rPr>
        <w:t>À retenir 2025</w:t>
      </w:r>
      <w:r w:rsidRPr="000362A2">
        <w:t xml:space="preserve"> : l’adoption est </w:t>
      </w:r>
      <w:r w:rsidRPr="000362A2">
        <w:rPr>
          <w:b/>
          <w:bCs/>
        </w:rPr>
        <w:t>plus institutionnelle</w:t>
      </w:r>
      <w:r w:rsidRPr="000362A2">
        <w:t>, axée sur la conformité et l’intégration aux systèmes financiers existants.</w:t>
      </w:r>
    </w:p>
    <w:p w14:paraId="2650C511" w14:textId="77777777" w:rsidR="000362A2" w:rsidRPr="000362A2" w:rsidRDefault="000362A2" w:rsidP="000362A2">
      <w:r w:rsidRPr="000362A2">
        <w:pict w14:anchorId="4B89242D">
          <v:rect id="_x0000_i1092" style="width:0;height:1.5pt" o:hralign="center" o:hrstd="t" o:hr="t" fillcolor="#a0a0a0" stroked="f"/>
        </w:pict>
      </w:r>
    </w:p>
    <w:p w14:paraId="03A4E5B6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2) Régulation &amp; supervision (focus UE)</w:t>
      </w:r>
    </w:p>
    <w:p w14:paraId="680D23FF" w14:textId="77777777" w:rsidR="000362A2" w:rsidRPr="000362A2" w:rsidRDefault="000362A2" w:rsidP="000362A2">
      <w:pPr>
        <w:numPr>
          <w:ilvl w:val="0"/>
          <w:numId w:val="28"/>
        </w:numPr>
      </w:pPr>
      <w:proofErr w:type="spellStart"/>
      <w:r w:rsidRPr="000362A2">
        <w:rPr>
          <w:b/>
          <w:bCs/>
        </w:rPr>
        <w:t>MiCA</w:t>
      </w:r>
      <w:proofErr w:type="spellEnd"/>
      <w:r w:rsidRPr="000362A2">
        <w:rPr>
          <w:b/>
          <w:bCs/>
        </w:rPr>
        <w:t xml:space="preserve"> – plein effet opérationnel</w:t>
      </w:r>
      <w:r w:rsidRPr="000362A2">
        <w:t xml:space="preserve"> : 2025 est l’année de la </w:t>
      </w:r>
      <w:r w:rsidRPr="000362A2">
        <w:rPr>
          <w:b/>
          <w:bCs/>
        </w:rPr>
        <w:t>consolidation</w:t>
      </w:r>
      <w:r w:rsidRPr="000362A2">
        <w:t xml:space="preserve"> (agréments fournisseurs de services crypto, exigences sur la gouvernance, fonds propres, information des investisseurs). Les </w:t>
      </w:r>
      <w:proofErr w:type="spellStart"/>
      <w:r w:rsidRPr="000362A2">
        <w:rPr>
          <w:b/>
          <w:bCs/>
        </w:rPr>
        <w:t>stablecoins</w:t>
      </w:r>
      <w:proofErr w:type="spellEnd"/>
      <w:r w:rsidRPr="000362A2">
        <w:t xml:space="preserve"> sont soumis à des plafonds, au contrôle prudentiel et à des exigences de réserve.</w:t>
      </w:r>
    </w:p>
    <w:p w14:paraId="5B2AE645" w14:textId="77777777" w:rsidR="000362A2" w:rsidRPr="000362A2" w:rsidRDefault="000362A2" w:rsidP="000362A2">
      <w:pPr>
        <w:numPr>
          <w:ilvl w:val="0"/>
          <w:numId w:val="28"/>
        </w:numPr>
      </w:pPr>
      <w:r w:rsidRPr="000362A2">
        <w:rPr>
          <w:b/>
          <w:bCs/>
        </w:rPr>
        <w:t xml:space="preserve">AML/CTF &amp; </w:t>
      </w:r>
      <w:proofErr w:type="spellStart"/>
      <w:r w:rsidRPr="000362A2">
        <w:rPr>
          <w:b/>
          <w:bCs/>
        </w:rPr>
        <w:t>Travel</w:t>
      </w:r>
      <w:proofErr w:type="spellEnd"/>
      <w:r w:rsidRPr="000362A2">
        <w:rPr>
          <w:b/>
          <w:bCs/>
        </w:rPr>
        <w:t xml:space="preserve"> Rule</w:t>
      </w:r>
      <w:r w:rsidRPr="000362A2">
        <w:t xml:space="preserve"> : généralisation de l’identification des clients et du </w:t>
      </w:r>
      <w:r w:rsidRPr="000362A2">
        <w:rPr>
          <w:b/>
          <w:bCs/>
        </w:rPr>
        <w:t>transfert d’informations</w:t>
      </w:r>
      <w:r w:rsidRPr="000362A2">
        <w:t xml:space="preserve"> entre plateformes lors des virements crypto ; surveillance accrue des portefeuilles non hébergés dès que l’on franchit certains seuils.</w:t>
      </w:r>
    </w:p>
    <w:p w14:paraId="17D0CFD8" w14:textId="77777777" w:rsidR="000362A2" w:rsidRPr="000362A2" w:rsidRDefault="000362A2" w:rsidP="000362A2">
      <w:pPr>
        <w:numPr>
          <w:ilvl w:val="0"/>
          <w:numId w:val="28"/>
        </w:numPr>
      </w:pPr>
      <w:r w:rsidRPr="000362A2">
        <w:rPr>
          <w:b/>
          <w:bCs/>
        </w:rPr>
        <w:t>Fiscalité &amp; reporting</w:t>
      </w:r>
      <w:r w:rsidRPr="000362A2">
        <w:t xml:space="preserve"> : alignement progressif avec les cadres européens de </w:t>
      </w:r>
      <w:r w:rsidRPr="000362A2">
        <w:rPr>
          <w:b/>
          <w:bCs/>
        </w:rPr>
        <w:t>reporting fiscal</w:t>
      </w:r>
      <w:r w:rsidRPr="000362A2">
        <w:t xml:space="preserve"> et de transparence (déclarations de transferts, documentation des flux).</w:t>
      </w:r>
    </w:p>
    <w:p w14:paraId="40C23EBA" w14:textId="77777777" w:rsidR="000362A2" w:rsidRPr="000362A2" w:rsidRDefault="000362A2" w:rsidP="000362A2">
      <w:pPr>
        <w:numPr>
          <w:ilvl w:val="0"/>
          <w:numId w:val="28"/>
        </w:numPr>
      </w:pPr>
      <w:r w:rsidRPr="000362A2">
        <w:rPr>
          <w:b/>
          <w:bCs/>
        </w:rPr>
        <w:t>Hors UE</w:t>
      </w:r>
      <w:r w:rsidRPr="000362A2">
        <w:t xml:space="preserve"> : poursuite des actions de supervision et d’application (enquêtes, saisies, injonctions), ce qui incite les acteurs à </w:t>
      </w:r>
      <w:r w:rsidRPr="000362A2">
        <w:rPr>
          <w:b/>
          <w:bCs/>
        </w:rPr>
        <w:t>documenter</w:t>
      </w:r>
      <w:r w:rsidRPr="000362A2">
        <w:t xml:space="preserve"> traçabilité, preuve de fonds et </w:t>
      </w:r>
      <w:r w:rsidRPr="000362A2">
        <w:rPr>
          <w:i/>
          <w:iCs/>
        </w:rPr>
        <w:t>compliance by design</w:t>
      </w:r>
      <w:r w:rsidRPr="000362A2">
        <w:t>.</w:t>
      </w:r>
    </w:p>
    <w:p w14:paraId="76ED3451" w14:textId="77777777" w:rsidR="000362A2" w:rsidRPr="000362A2" w:rsidRDefault="000362A2" w:rsidP="000362A2">
      <w:r w:rsidRPr="000362A2">
        <w:rPr>
          <w:b/>
          <w:bCs/>
        </w:rPr>
        <w:t>À retenir 2025</w:t>
      </w:r>
      <w:r w:rsidRPr="000362A2">
        <w:t xml:space="preserve"> : réussite = </w:t>
      </w:r>
      <w:r w:rsidRPr="000362A2">
        <w:rPr>
          <w:b/>
          <w:bCs/>
        </w:rPr>
        <w:t>licences, procédures, contrôles internes</w:t>
      </w:r>
      <w:r w:rsidRPr="000362A2">
        <w:t xml:space="preserve"> et documentation des risques pour chaque produit crypto offert.</w:t>
      </w:r>
    </w:p>
    <w:p w14:paraId="04FD03F6" w14:textId="77777777" w:rsidR="000362A2" w:rsidRPr="000362A2" w:rsidRDefault="000362A2" w:rsidP="000362A2">
      <w:r w:rsidRPr="000362A2">
        <w:pict w14:anchorId="673D9E19">
          <v:rect id="_x0000_i1093" style="width:0;height:1.5pt" o:hralign="center" o:hrstd="t" o:hr="t" fillcolor="#a0a0a0" stroked="f"/>
        </w:pict>
      </w:r>
    </w:p>
    <w:p w14:paraId="798DA3A5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3) Sécurité, traçabilité &amp; application de la loi</w:t>
      </w:r>
    </w:p>
    <w:p w14:paraId="49CBE262" w14:textId="77777777" w:rsidR="000362A2" w:rsidRPr="000362A2" w:rsidRDefault="000362A2" w:rsidP="000362A2">
      <w:pPr>
        <w:numPr>
          <w:ilvl w:val="0"/>
          <w:numId w:val="29"/>
        </w:numPr>
      </w:pPr>
      <w:r w:rsidRPr="000362A2">
        <w:rPr>
          <w:b/>
          <w:bCs/>
        </w:rPr>
        <w:t>Traçabilité on-chain</w:t>
      </w:r>
      <w:r w:rsidRPr="000362A2">
        <w:t xml:space="preserve"> : les transactions publiques et la consolidation d’outils d’analyse rendent la </w:t>
      </w:r>
      <w:r w:rsidRPr="000362A2">
        <w:rPr>
          <w:b/>
          <w:bCs/>
        </w:rPr>
        <w:t>pseudonymat</w:t>
      </w:r>
      <w:r w:rsidRPr="000362A2">
        <w:t xml:space="preserve"> de plus en plus faible ; la coopération autorités/plateformes s’intensifie (gel, saisie, </w:t>
      </w:r>
      <w:r w:rsidRPr="000362A2">
        <w:rPr>
          <w:i/>
          <w:iCs/>
        </w:rPr>
        <w:t>chain analytics</w:t>
      </w:r>
      <w:r w:rsidRPr="000362A2">
        <w:t>).</w:t>
      </w:r>
    </w:p>
    <w:p w14:paraId="2DB8A3BE" w14:textId="77777777" w:rsidR="000362A2" w:rsidRPr="000362A2" w:rsidRDefault="000362A2" w:rsidP="000362A2">
      <w:pPr>
        <w:numPr>
          <w:ilvl w:val="0"/>
          <w:numId w:val="29"/>
        </w:numPr>
      </w:pPr>
      <w:r w:rsidRPr="000362A2">
        <w:rPr>
          <w:b/>
          <w:bCs/>
        </w:rPr>
        <w:t>Vecteurs d’attaque</w:t>
      </w:r>
      <w:r w:rsidRPr="000362A2">
        <w:t xml:space="preserve"> :</w:t>
      </w:r>
    </w:p>
    <w:p w14:paraId="1F6E7735" w14:textId="77777777" w:rsidR="000362A2" w:rsidRPr="000362A2" w:rsidRDefault="000362A2" w:rsidP="000362A2">
      <w:pPr>
        <w:numPr>
          <w:ilvl w:val="1"/>
          <w:numId w:val="29"/>
        </w:numPr>
      </w:pPr>
      <w:r w:rsidRPr="000362A2">
        <w:rPr>
          <w:b/>
          <w:bCs/>
        </w:rPr>
        <w:t>Ransomware &amp; blanchiment</w:t>
      </w:r>
      <w:r w:rsidRPr="000362A2">
        <w:t xml:space="preserve"> via mixeurs/bridges, visés par des listes de sanctions ;</w:t>
      </w:r>
    </w:p>
    <w:p w14:paraId="6BDFF528" w14:textId="77777777" w:rsidR="000362A2" w:rsidRPr="000362A2" w:rsidRDefault="000362A2" w:rsidP="000362A2">
      <w:pPr>
        <w:numPr>
          <w:ilvl w:val="1"/>
          <w:numId w:val="29"/>
        </w:numPr>
      </w:pPr>
      <w:r w:rsidRPr="000362A2">
        <w:rPr>
          <w:b/>
          <w:bCs/>
        </w:rPr>
        <w:t>Faille d’intégrations</w:t>
      </w:r>
      <w:r w:rsidRPr="000362A2">
        <w:t xml:space="preserve"> (APIs, </w:t>
      </w:r>
      <w:proofErr w:type="spellStart"/>
      <w:r w:rsidRPr="000362A2">
        <w:t>OAuth</w:t>
      </w:r>
      <w:proofErr w:type="spellEnd"/>
      <w:r w:rsidRPr="000362A2">
        <w:t xml:space="preserve">) et </w:t>
      </w:r>
      <w:r w:rsidRPr="000362A2">
        <w:rPr>
          <w:b/>
          <w:bCs/>
        </w:rPr>
        <w:t>ingénierie sociale</w:t>
      </w:r>
      <w:r w:rsidRPr="000362A2">
        <w:t xml:space="preserve"> restent des causes majeures de brèches ;</w:t>
      </w:r>
    </w:p>
    <w:p w14:paraId="09CCF59F" w14:textId="77777777" w:rsidR="000362A2" w:rsidRPr="000362A2" w:rsidRDefault="000362A2" w:rsidP="000362A2">
      <w:pPr>
        <w:numPr>
          <w:ilvl w:val="1"/>
          <w:numId w:val="29"/>
        </w:numPr>
      </w:pPr>
      <w:r w:rsidRPr="000362A2">
        <w:rPr>
          <w:b/>
          <w:bCs/>
        </w:rPr>
        <w:t xml:space="preserve">Exploits </w:t>
      </w:r>
      <w:proofErr w:type="spellStart"/>
      <w:r w:rsidRPr="000362A2">
        <w:rPr>
          <w:b/>
          <w:bCs/>
        </w:rPr>
        <w:t>DeFi</w:t>
      </w:r>
      <w:proofErr w:type="spellEnd"/>
      <w:r w:rsidRPr="000362A2">
        <w:t xml:space="preserve"> (oracles, ponts inter-chaînes) : réduction des incidents sur projets audités, mais risque systémique persistant sur les bridges.</w:t>
      </w:r>
    </w:p>
    <w:p w14:paraId="16F7926E" w14:textId="77777777" w:rsidR="000362A2" w:rsidRPr="000362A2" w:rsidRDefault="000362A2" w:rsidP="000362A2">
      <w:pPr>
        <w:numPr>
          <w:ilvl w:val="0"/>
          <w:numId w:val="29"/>
        </w:numPr>
      </w:pPr>
      <w:r w:rsidRPr="000362A2">
        <w:rPr>
          <w:b/>
          <w:bCs/>
        </w:rPr>
        <w:lastRenderedPageBreak/>
        <w:t>Preuve &amp; conformité</w:t>
      </w:r>
      <w:r w:rsidRPr="000362A2">
        <w:t xml:space="preserve"> : montée des </w:t>
      </w:r>
      <w:r w:rsidRPr="000362A2">
        <w:rPr>
          <w:b/>
          <w:bCs/>
        </w:rPr>
        <w:t>preuves cryptographiques</w:t>
      </w:r>
      <w:r w:rsidRPr="000362A2">
        <w:t xml:space="preserve"> (preuves de réserves, attestations d’actifs) et des </w:t>
      </w:r>
      <w:r w:rsidRPr="000362A2">
        <w:rPr>
          <w:b/>
          <w:bCs/>
        </w:rPr>
        <w:t>journaux d’audit</w:t>
      </w:r>
      <w:r w:rsidRPr="000362A2">
        <w:t xml:space="preserve"> (origine des fonds, </w:t>
      </w:r>
      <w:proofErr w:type="spellStart"/>
      <w:r w:rsidRPr="000362A2">
        <w:rPr>
          <w:i/>
          <w:iCs/>
        </w:rPr>
        <w:t>travel</w:t>
      </w:r>
      <w:proofErr w:type="spellEnd"/>
      <w:r w:rsidRPr="000362A2">
        <w:rPr>
          <w:i/>
          <w:iCs/>
        </w:rPr>
        <w:t xml:space="preserve"> </w:t>
      </w:r>
      <w:proofErr w:type="spellStart"/>
      <w:r w:rsidRPr="000362A2">
        <w:rPr>
          <w:i/>
          <w:iCs/>
        </w:rPr>
        <w:t>rule</w:t>
      </w:r>
      <w:proofErr w:type="spellEnd"/>
      <w:r w:rsidRPr="000362A2">
        <w:t>).</w:t>
      </w:r>
    </w:p>
    <w:p w14:paraId="32B94C3F" w14:textId="77777777" w:rsidR="000362A2" w:rsidRPr="000362A2" w:rsidRDefault="000362A2" w:rsidP="000362A2">
      <w:r w:rsidRPr="000362A2">
        <w:rPr>
          <w:b/>
          <w:bCs/>
        </w:rPr>
        <w:t>À retenir 2025</w:t>
      </w:r>
      <w:r w:rsidRPr="000362A2">
        <w:t xml:space="preserve"> : l’argument « intraçable » n’est plus crédible ; ce qui compte est la </w:t>
      </w:r>
      <w:r w:rsidRPr="000362A2">
        <w:rPr>
          <w:b/>
          <w:bCs/>
        </w:rPr>
        <w:t>gouvernance technique</w:t>
      </w:r>
      <w:r w:rsidRPr="000362A2">
        <w:t xml:space="preserve"> et l’alignement aux procédures </w:t>
      </w:r>
      <w:r w:rsidRPr="000362A2">
        <w:rPr>
          <w:b/>
          <w:bCs/>
        </w:rPr>
        <w:t>KYC/AML</w:t>
      </w:r>
      <w:r w:rsidRPr="000362A2">
        <w:t>.</w:t>
      </w:r>
    </w:p>
    <w:p w14:paraId="09AECEE7" w14:textId="77777777" w:rsidR="000362A2" w:rsidRPr="000362A2" w:rsidRDefault="000362A2" w:rsidP="000362A2">
      <w:r w:rsidRPr="000362A2">
        <w:pict w14:anchorId="41E7176C">
          <v:rect id="_x0000_i1094" style="width:0;height:1.5pt" o:hralign="center" o:hrstd="t" o:hr="t" fillcolor="#a0a0a0" stroked="f"/>
        </w:pict>
      </w:r>
    </w:p>
    <w:p w14:paraId="1244285F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4) Risques technologiques (2025)</w:t>
      </w:r>
    </w:p>
    <w:p w14:paraId="5BCD7DAE" w14:textId="77777777" w:rsidR="000362A2" w:rsidRPr="000362A2" w:rsidRDefault="000362A2" w:rsidP="000362A2">
      <w:pPr>
        <w:numPr>
          <w:ilvl w:val="0"/>
          <w:numId w:val="30"/>
        </w:numPr>
      </w:pPr>
      <w:r w:rsidRPr="000362A2">
        <w:rPr>
          <w:b/>
          <w:bCs/>
        </w:rPr>
        <w:t>Post-quantique</w:t>
      </w:r>
      <w:r w:rsidRPr="000362A2">
        <w:t xml:space="preserve"> : risque </w:t>
      </w:r>
      <w:r w:rsidRPr="000362A2">
        <w:rPr>
          <w:b/>
          <w:bCs/>
        </w:rPr>
        <w:t>“</w:t>
      </w:r>
      <w:proofErr w:type="spellStart"/>
      <w:r w:rsidRPr="000362A2">
        <w:rPr>
          <w:b/>
          <w:bCs/>
        </w:rPr>
        <w:t>harvest-now</w:t>
      </w:r>
      <w:proofErr w:type="spellEnd"/>
      <w:r w:rsidRPr="000362A2">
        <w:rPr>
          <w:b/>
          <w:bCs/>
        </w:rPr>
        <w:t xml:space="preserve">, </w:t>
      </w:r>
      <w:proofErr w:type="spellStart"/>
      <w:r w:rsidRPr="000362A2">
        <w:rPr>
          <w:b/>
          <w:bCs/>
        </w:rPr>
        <w:t>decrypt-later</w:t>
      </w:r>
      <w:proofErr w:type="spellEnd"/>
      <w:r w:rsidRPr="000362A2">
        <w:rPr>
          <w:b/>
          <w:bCs/>
        </w:rPr>
        <w:t>”</w:t>
      </w:r>
      <w:r w:rsidRPr="000362A2">
        <w:t xml:space="preserve"> sur anciennes clés ; démarrage des </w:t>
      </w:r>
      <w:r w:rsidRPr="000362A2">
        <w:rPr>
          <w:b/>
          <w:bCs/>
        </w:rPr>
        <w:t>inventaires cryptographiques</w:t>
      </w:r>
      <w:r w:rsidRPr="000362A2">
        <w:t xml:space="preserve"> et pilotes de migrations vers algorithmes résistants (PQC).</w:t>
      </w:r>
    </w:p>
    <w:p w14:paraId="755B6CC0" w14:textId="77777777" w:rsidR="000362A2" w:rsidRPr="000362A2" w:rsidRDefault="000362A2" w:rsidP="000362A2">
      <w:pPr>
        <w:numPr>
          <w:ilvl w:val="0"/>
          <w:numId w:val="30"/>
        </w:numPr>
      </w:pPr>
      <w:proofErr w:type="spellStart"/>
      <w:r w:rsidRPr="000362A2">
        <w:rPr>
          <w:b/>
          <w:bCs/>
        </w:rPr>
        <w:t>Stablecoins</w:t>
      </w:r>
      <w:proofErr w:type="spellEnd"/>
      <w:r w:rsidRPr="000362A2">
        <w:rPr>
          <w:b/>
          <w:bCs/>
        </w:rPr>
        <w:t xml:space="preserve"> &amp; liquidité</w:t>
      </w:r>
      <w:r w:rsidRPr="000362A2">
        <w:t xml:space="preserve"> : gestion de la parité et des réserves (qualité, diversification, accès </w:t>
      </w:r>
      <w:proofErr w:type="spellStart"/>
      <w:r w:rsidRPr="000362A2">
        <w:t>intraday</w:t>
      </w:r>
      <w:proofErr w:type="spellEnd"/>
      <w:r w:rsidRPr="000362A2">
        <w:t>) reste un point d’attention prudentiel.</w:t>
      </w:r>
    </w:p>
    <w:p w14:paraId="4F67FB35" w14:textId="77777777" w:rsidR="000362A2" w:rsidRPr="000362A2" w:rsidRDefault="000362A2" w:rsidP="000362A2">
      <w:pPr>
        <w:numPr>
          <w:ilvl w:val="0"/>
          <w:numId w:val="30"/>
        </w:numPr>
      </w:pPr>
      <w:r w:rsidRPr="000362A2">
        <w:rPr>
          <w:b/>
          <w:bCs/>
        </w:rPr>
        <w:t xml:space="preserve">Smart </w:t>
      </w:r>
      <w:proofErr w:type="spellStart"/>
      <w:r w:rsidRPr="000362A2">
        <w:rPr>
          <w:b/>
          <w:bCs/>
        </w:rPr>
        <w:t>contracts</w:t>
      </w:r>
      <w:proofErr w:type="spellEnd"/>
      <w:r w:rsidRPr="000362A2">
        <w:t xml:space="preserve"> : endurcissement par </w:t>
      </w:r>
      <w:r w:rsidRPr="000362A2">
        <w:rPr>
          <w:b/>
          <w:bCs/>
        </w:rPr>
        <w:t>audits multiples</w:t>
      </w:r>
      <w:r w:rsidRPr="000362A2">
        <w:t xml:space="preserve">, </w:t>
      </w:r>
      <w:r w:rsidRPr="000362A2">
        <w:rPr>
          <w:i/>
          <w:iCs/>
        </w:rPr>
        <w:t xml:space="preserve">bug </w:t>
      </w:r>
      <w:proofErr w:type="spellStart"/>
      <w:r w:rsidRPr="000362A2">
        <w:rPr>
          <w:i/>
          <w:iCs/>
        </w:rPr>
        <w:t>bounties</w:t>
      </w:r>
      <w:proofErr w:type="spellEnd"/>
      <w:r w:rsidRPr="000362A2">
        <w:t xml:space="preserve"> et </w:t>
      </w:r>
      <w:r w:rsidRPr="000362A2">
        <w:rPr>
          <w:i/>
          <w:iCs/>
        </w:rPr>
        <w:t xml:space="preserve">circuit </w:t>
      </w:r>
      <w:proofErr w:type="spellStart"/>
      <w:r w:rsidRPr="000362A2">
        <w:rPr>
          <w:i/>
          <w:iCs/>
        </w:rPr>
        <w:t>breakers</w:t>
      </w:r>
      <w:proofErr w:type="spellEnd"/>
      <w:r w:rsidRPr="000362A2">
        <w:t xml:space="preserve"> ; obligation d’un </w:t>
      </w:r>
      <w:r w:rsidRPr="000362A2">
        <w:rPr>
          <w:b/>
          <w:bCs/>
        </w:rPr>
        <w:t>plan d’urgence</w:t>
      </w:r>
      <w:r w:rsidRPr="000362A2">
        <w:t xml:space="preserve"> (pauses, mises à jour gouvernées).</w:t>
      </w:r>
    </w:p>
    <w:p w14:paraId="631D0B06" w14:textId="77777777" w:rsidR="000362A2" w:rsidRPr="000362A2" w:rsidRDefault="000362A2" w:rsidP="000362A2">
      <w:pPr>
        <w:numPr>
          <w:ilvl w:val="0"/>
          <w:numId w:val="30"/>
        </w:numPr>
      </w:pPr>
      <w:r w:rsidRPr="000362A2">
        <w:rPr>
          <w:b/>
          <w:bCs/>
        </w:rPr>
        <w:t>Gouvernance</w:t>
      </w:r>
      <w:r w:rsidRPr="000362A2">
        <w:t xml:space="preserve"> : risques de centralisation (clés d’admin, </w:t>
      </w:r>
      <w:proofErr w:type="spellStart"/>
      <w:r w:rsidRPr="000362A2">
        <w:t>multisig</w:t>
      </w:r>
      <w:proofErr w:type="spellEnd"/>
      <w:r w:rsidRPr="000362A2">
        <w:t>), de collusion et de capture de protocole → transparence et limites de pouvoir documentées.</w:t>
      </w:r>
    </w:p>
    <w:p w14:paraId="6C3CDF29" w14:textId="77777777" w:rsidR="000362A2" w:rsidRPr="000362A2" w:rsidRDefault="000362A2" w:rsidP="000362A2">
      <w:r w:rsidRPr="000362A2">
        <w:rPr>
          <w:b/>
          <w:bCs/>
        </w:rPr>
        <w:t>À retenir 2025</w:t>
      </w:r>
      <w:r w:rsidRPr="000362A2">
        <w:t xml:space="preserve"> : priorités techniques = </w:t>
      </w:r>
      <w:r w:rsidRPr="000362A2">
        <w:rPr>
          <w:b/>
          <w:bCs/>
        </w:rPr>
        <w:t xml:space="preserve">PQC, audits, plans de continuité, gestion de la liquidité </w:t>
      </w:r>
      <w:proofErr w:type="spellStart"/>
      <w:r w:rsidRPr="000362A2">
        <w:rPr>
          <w:b/>
          <w:bCs/>
        </w:rPr>
        <w:t>stablecoin</w:t>
      </w:r>
      <w:proofErr w:type="spellEnd"/>
      <w:r w:rsidRPr="000362A2">
        <w:t>, et sécurité des bridges.</w:t>
      </w:r>
    </w:p>
    <w:p w14:paraId="764A1D01" w14:textId="77777777" w:rsidR="000362A2" w:rsidRPr="000362A2" w:rsidRDefault="000362A2" w:rsidP="000362A2">
      <w:r w:rsidRPr="000362A2">
        <w:pict w14:anchorId="597A6B1E">
          <v:rect id="_x0000_i1095" style="width:0;height:1.5pt" o:hralign="center" o:hrstd="t" o:hr="t" fillcolor="#a0a0a0" stroked="f"/>
        </w:pict>
      </w:r>
    </w:p>
    <w:p w14:paraId="1447ABF9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5) Économie, énergie &amp; durabilité</w:t>
      </w:r>
    </w:p>
    <w:p w14:paraId="1C9D25A2" w14:textId="77777777" w:rsidR="000362A2" w:rsidRPr="000362A2" w:rsidRDefault="000362A2" w:rsidP="000362A2">
      <w:pPr>
        <w:numPr>
          <w:ilvl w:val="0"/>
          <w:numId w:val="31"/>
        </w:numPr>
      </w:pPr>
      <w:r w:rsidRPr="000362A2">
        <w:rPr>
          <w:b/>
          <w:bCs/>
        </w:rPr>
        <w:t>Coûts d’infrastructure</w:t>
      </w:r>
      <w:r w:rsidRPr="000362A2">
        <w:t xml:space="preserve"> : hausse des coûts d’hébergement et de calcul (marché datacenters), pression énergétique liée aux charges d’IA voisines et à la concurrence pour la capacité.</w:t>
      </w:r>
    </w:p>
    <w:p w14:paraId="53B977D7" w14:textId="77777777" w:rsidR="000362A2" w:rsidRPr="000362A2" w:rsidRDefault="000362A2" w:rsidP="000362A2">
      <w:pPr>
        <w:numPr>
          <w:ilvl w:val="0"/>
          <w:numId w:val="31"/>
        </w:numPr>
      </w:pPr>
      <w:r w:rsidRPr="000362A2">
        <w:rPr>
          <w:b/>
          <w:bCs/>
        </w:rPr>
        <w:t>Empreinte environnementale</w:t>
      </w:r>
      <w:r w:rsidRPr="000362A2">
        <w:t xml:space="preserve"> : accélération des stratégies de </w:t>
      </w:r>
      <w:r w:rsidRPr="000362A2">
        <w:rPr>
          <w:b/>
          <w:bCs/>
        </w:rPr>
        <w:t>décarbonation</w:t>
      </w:r>
      <w:r w:rsidRPr="000362A2">
        <w:t xml:space="preserve"> (énergies bas-carbone, contrats long terme) ; débats persistants autour des mécanismes </w:t>
      </w:r>
      <w:proofErr w:type="spellStart"/>
      <w:r w:rsidRPr="000362A2">
        <w:rPr>
          <w:b/>
          <w:bCs/>
        </w:rPr>
        <w:t>PoW</w:t>
      </w:r>
      <w:proofErr w:type="spellEnd"/>
      <w:r w:rsidRPr="000362A2">
        <w:t xml:space="preserve"> vs </w:t>
      </w:r>
      <w:proofErr w:type="spellStart"/>
      <w:r w:rsidRPr="000362A2">
        <w:rPr>
          <w:b/>
          <w:bCs/>
        </w:rPr>
        <w:t>PoS</w:t>
      </w:r>
      <w:proofErr w:type="spellEnd"/>
      <w:r w:rsidRPr="000362A2">
        <w:t>.</w:t>
      </w:r>
    </w:p>
    <w:p w14:paraId="0D375198" w14:textId="77777777" w:rsidR="000362A2" w:rsidRPr="000362A2" w:rsidRDefault="000362A2" w:rsidP="000362A2">
      <w:pPr>
        <w:numPr>
          <w:ilvl w:val="0"/>
          <w:numId w:val="31"/>
        </w:numPr>
      </w:pPr>
      <w:r w:rsidRPr="000362A2">
        <w:rPr>
          <w:b/>
          <w:bCs/>
        </w:rPr>
        <w:t>Tokenisation &amp; efficacité</w:t>
      </w:r>
      <w:r w:rsidRPr="000362A2">
        <w:t xml:space="preserve"> : gains potentiels sur </w:t>
      </w:r>
      <w:r w:rsidRPr="000362A2">
        <w:rPr>
          <w:b/>
          <w:bCs/>
        </w:rPr>
        <w:t>frais de règlement</w:t>
      </w:r>
      <w:r w:rsidRPr="000362A2">
        <w:t xml:space="preserve">, disponibilité des actifs 24/7 et </w:t>
      </w:r>
      <w:r w:rsidRPr="000362A2">
        <w:rPr>
          <w:b/>
          <w:bCs/>
        </w:rPr>
        <w:t>réduction du besoin en collatéral</w:t>
      </w:r>
      <w:r w:rsidRPr="000362A2">
        <w:t xml:space="preserve"> via règlements plus rapides.</w:t>
      </w:r>
    </w:p>
    <w:p w14:paraId="1E41E992" w14:textId="77777777" w:rsidR="000362A2" w:rsidRPr="000362A2" w:rsidRDefault="000362A2" w:rsidP="000362A2">
      <w:r w:rsidRPr="000362A2">
        <w:rPr>
          <w:b/>
          <w:bCs/>
        </w:rPr>
        <w:t>À retenir 2025</w:t>
      </w:r>
      <w:r w:rsidRPr="000362A2">
        <w:t xml:space="preserve"> : l’équation économique dépend de la </w:t>
      </w:r>
      <w:r w:rsidRPr="000362A2">
        <w:rPr>
          <w:b/>
          <w:bCs/>
        </w:rPr>
        <w:t>conformité</w:t>
      </w:r>
      <w:r w:rsidRPr="000362A2">
        <w:t xml:space="preserve">, de la </w:t>
      </w:r>
      <w:r w:rsidRPr="000362A2">
        <w:rPr>
          <w:b/>
          <w:bCs/>
        </w:rPr>
        <w:t>gestion du risque</w:t>
      </w:r>
      <w:r w:rsidRPr="000362A2">
        <w:t xml:space="preserve"> et d’un </w:t>
      </w:r>
      <w:r w:rsidRPr="000362A2">
        <w:rPr>
          <w:b/>
          <w:bCs/>
        </w:rPr>
        <w:t>TCO d’infrastructure</w:t>
      </w:r>
      <w:r w:rsidRPr="000362A2">
        <w:t xml:space="preserve"> sous contrainte énergétique.</w:t>
      </w:r>
    </w:p>
    <w:p w14:paraId="61AA461A" w14:textId="77777777" w:rsidR="000362A2" w:rsidRPr="000362A2" w:rsidRDefault="000362A2" w:rsidP="000362A2">
      <w:r w:rsidRPr="000362A2">
        <w:pict w14:anchorId="486C326B">
          <v:rect id="_x0000_i1096" style="width:0;height:1.5pt" o:hralign="center" o:hrstd="t" o:hr="t" fillcolor="#a0a0a0" stroked="f"/>
        </w:pict>
      </w:r>
    </w:p>
    <w:p w14:paraId="5C5038E6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6) Perspectives 2025–2027</w:t>
      </w:r>
    </w:p>
    <w:p w14:paraId="0CA3A726" w14:textId="77777777" w:rsidR="000362A2" w:rsidRPr="000362A2" w:rsidRDefault="000362A2" w:rsidP="000362A2">
      <w:pPr>
        <w:numPr>
          <w:ilvl w:val="0"/>
          <w:numId w:val="32"/>
        </w:numPr>
      </w:pPr>
      <w:r w:rsidRPr="000362A2">
        <w:rPr>
          <w:b/>
          <w:bCs/>
        </w:rPr>
        <w:t xml:space="preserve">Finance </w:t>
      </w:r>
      <w:proofErr w:type="spellStart"/>
      <w:r w:rsidRPr="000362A2">
        <w:rPr>
          <w:b/>
          <w:bCs/>
        </w:rPr>
        <w:t>tokenisée</w:t>
      </w:r>
      <w:proofErr w:type="spellEnd"/>
      <w:r w:rsidRPr="000362A2">
        <w:t xml:space="preserve"> : montée en puissance </w:t>
      </w:r>
      <w:r w:rsidRPr="000362A2">
        <w:rPr>
          <w:i/>
          <w:iCs/>
        </w:rPr>
        <w:t>on-chain</w:t>
      </w:r>
      <w:r w:rsidRPr="000362A2">
        <w:t xml:space="preserve"> des titres et collatéraux ; interopérabilité protocolaire.</w:t>
      </w:r>
    </w:p>
    <w:p w14:paraId="7D501D3D" w14:textId="77777777" w:rsidR="000362A2" w:rsidRPr="000362A2" w:rsidRDefault="000362A2" w:rsidP="000362A2">
      <w:pPr>
        <w:numPr>
          <w:ilvl w:val="0"/>
          <w:numId w:val="32"/>
        </w:numPr>
      </w:pPr>
      <w:r w:rsidRPr="000362A2">
        <w:rPr>
          <w:b/>
          <w:bCs/>
        </w:rPr>
        <w:t>Institutionnalisation</w:t>
      </w:r>
      <w:r w:rsidRPr="000362A2">
        <w:t xml:space="preserve"> : consolidation des acteurs </w:t>
      </w:r>
      <w:r w:rsidRPr="000362A2">
        <w:rPr>
          <w:b/>
          <w:bCs/>
        </w:rPr>
        <w:t>agréés</w:t>
      </w:r>
      <w:r w:rsidRPr="000362A2">
        <w:t xml:space="preserve"> (garde, exécution, émetteurs de </w:t>
      </w:r>
      <w:proofErr w:type="spellStart"/>
      <w:r w:rsidRPr="000362A2">
        <w:t>stablecoins</w:t>
      </w:r>
      <w:proofErr w:type="spellEnd"/>
      <w:r w:rsidRPr="000362A2">
        <w:t>).</w:t>
      </w:r>
    </w:p>
    <w:p w14:paraId="057EB575" w14:textId="77777777" w:rsidR="000362A2" w:rsidRPr="000362A2" w:rsidRDefault="000362A2" w:rsidP="000362A2">
      <w:pPr>
        <w:numPr>
          <w:ilvl w:val="0"/>
          <w:numId w:val="32"/>
        </w:numPr>
      </w:pPr>
      <w:r w:rsidRPr="000362A2">
        <w:rPr>
          <w:b/>
          <w:bCs/>
        </w:rPr>
        <w:t>Interopérabilité &amp; bridges sûrs</w:t>
      </w:r>
      <w:r w:rsidRPr="000362A2">
        <w:t xml:space="preserve"> : standardisation des messages et contrôles multi-signataires.</w:t>
      </w:r>
    </w:p>
    <w:p w14:paraId="69040C90" w14:textId="77777777" w:rsidR="000362A2" w:rsidRPr="000362A2" w:rsidRDefault="000362A2" w:rsidP="000362A2">
      <w:pPr>
        <w:numPr>
          <w:ilvl w:val="0"/>
          <w:numId w:val="32"/>
        </w:numPr>
      </w:pPr>
      <w:r w:rsidRPr="000362A2">
        <w:rPr>
          <w:b/>
          <w:bCs/>
        </w:rPr>
        <w:t>PQC &amp; sécurité</w:t>
      </w:r>
      <w:r w:rsidRPr="000362A2">
        <w:t xml:space="preserve"> : trajectoires de migration cryptographique ; certifications et labels.</w:t>
      </w:r>
    </w:p>
    <w:p w14:paraId="5B62DFF4" w14:textId="77777777" w:rsidR="000362A2" w:rsidRPr="000362A2" w:rsidRDefault="000362A2" w:rsidP="000362A2">
      <w:pPr>
        <w:numPr>
          <w:ilvl w:val="0"/>
          <w:numId w:val="32"/>
        </w:numPr>
      </w:pPr>
      <w:r w:rsidRPr="000362A2">
        <w:rPr>
          <w:b/>
          <w:bCs/>
        </w:rPr>
        <w:t>Intégration comptable &amp; fiscale</w:t>
      </w:r>
      <w:r w:rsidRPr="000362A2">
        <w:t xml:space="preserve"> : normalisation outillée (</w:t>
      </w:r>
      <w:proofErr w:type="spellStart"/>
      <w:r w:rsidRPr="000362A2">
        <w:t>auditabilité</w:t>
      </w:r>
      <w:proofErr w:type="spellEnd"/>
      <w:r w:rsidRPr="000362A2">
        <w:t xml:space="preserve"> temps réel, pistes d’audit </w:t>
      </w:r>
      <w:r w:rsidRPr="000362A2">
        <w:rPr>
          <w:i/>
          <w:iCs/>
        </w:rPr>
        <w:t>on-chain</w:t>
      </w:r>
      <w:r w:rsidRPr="000362A2">
        <w:t>).</w:t>
      </w:r>
    </w:p>
    <w:p w14:paraId="7B368634" w14:textId="77777777" w:rsidR="000362A2" w:rsidRPr="000362A2" w:rsidRDefault="000362A2" w:rsidP="000362A2">
      <w:r w:rsidRPr="000362A2">
        <w:pict w14:anchorId="79D70883">
          <v:rect id="_x0000_i1097" style="width:0;height:1.5pt" o:hralign="center" o:hrstd="t" o:hr="t" fillcolor="#a0a0a0" stroked="f"/>
        </w:pict>
      </w:r>
    </w:p>
    <w:p w14:paraId="75C76EAD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7) Feuille de route pratique (organisations publiques/privées)</w:t>
      </w:r>
    </w:p>
    <w:p w14:paraId="7EEDD15D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t>Conformité</w:t>
      </w:r>
      <w:r w:rsidRPr="000362A2">
        <w:t xml:space="preserve"> : cartographier produits/services crypto, vérifier </w:t>
      </w:r>
      <w:r w:rsidRPr="000362A2">
        <w:rPr>
          <w:b/>
          <w:bCs/>
        </w:rPr>
        <w:t xml:space="preserve">périmètre </w:t>
      </w:r>
      <w:proofErr w:type="spellStart"/>
      <w:r w:rsidRPr="000362A2">
        <w:rPr>
          <w:b/>
          <w:bCs/>
        </w:rPr>
        <w:t>MiCA</w:t>
      </w:r>
      <w:proofErr w:type="spellEnd"/>
      <w:r w:rsidRPr="000362A2">
        <w:t xml:space="preserve">, procédures </w:t>
      </w:r>
      <w:r w:rsidRPr="000362A2">
        <w:rPr>
          <w:b/>
          <w:bCs/>
        </w:rPr>
        <w:t>KYC/AML/</w:t>
      </w:r>
      <w:proofErr w:type="spellStart"/>
      <w:r w:rsidRPr="000362A2">
        <w:rPr>
          <w:b/>
          <w:bCs/>
        </w:rPr>
        <w:t>Travel</w:t>
      </w:r>
      <w:proofErr w:type="spellEnd"/>
      <w:r w:rsidRPr="000362A2">
        <w:rPr>
          <w:b/>
          <w:bCs/>
        </w:rPr>
        <w:t xml:space="preserve"> Rule</w:t>
      </w:r>
      <w:r w:rsidRPr="000362A2">
        <w:t xml:space="preserve">, et politiques </w:t>
      </w:r>
      <w:r w:rsidRPr="000362A2">
        <w:rPr>
          <w:b/>
          <w:bCs/>
        </w:rPr>
        <w:t>sanctions</w:t>
      </w:r>
      <w:r w:rsidRPr="000362A2">
        <w:t>.</w:t>
      </w:r>
    </w:p>
    <w:p w14:paraId="0485D9FF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lastRenderedPageBreak/>
        <w:t>Garde &amp; contreparties</w:t>
      </w:r>
      <w:r w:rsidRPr="000362A2">
        <w:t xml:space="preserve"> : choisir des </w:t>
      </w:r>
      <w:r w:rsidRPr="000362A2">
        <w:rPr>
          <w:b/>
          <w:bCs/>
        </w:rPr>
        <w:t>dépositaires régulés</w:t>
      </w:r>
      <w:r w:rsidRPr="000362A2">
        <w:t xml:space="preserve">, exigences de </w:t>
      </w:r>
      <w:r w:rsidRPr="000362A2">
        <w:rPr>
          <w:b/>
          <w:bCs/>
        </w:rPr>
        <w:t>ségrégation d’actifs</w:t>
      </w:r>
      <w:r w:rsidRPr="000362A2">
        <w:t>, attestations de réserves, clauses de continuité.</w:t>
      </w:r>
    </w:p>
    <w:p w14:paraId="1E08ACD5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t>Sécurité</w:t>
      </w:r>
      <w:r w:rsidRPr="000362A2">
        <w:t xml:space="preserve"> : audits réguliers des </w:t>
      </w:r>
      <w:r w:rsidRPr="000362A2">
        <w:rPr>
          <w:b/>
          <w:bCs/>
        </w:rPr>
        <w:t xml:space="preserve">smart </w:t>
      </w:r>
      <w:proofErr w:type="spellStart"/>
      <w:r w:rsidRPr="000362A2">
        <w:rPr>
          <w:b/>
          <w:bCs/>
        </w:rPr>
        <w:t>contracts</w:t>
      </w:r>
      <w:proofErr w:type="spellEnd"/>
      <w:r w:rsidRPr="000362A2">
        <w:t xml:space="preserve">, durcissement </w:t>
      </w:r>
      <w:proofErr w:type="spellStart"/>
      <w:r w:rsidRPr="000362A2">
        <w:rPr>
          <w:b/>
          <w:bCs/>
        </w:rPr>
        <w:t>OAuth</w:t>
      </w:r>
      <w:proofErr w:type="spellEnd"/>
      <w:r w:rsidRPr="000362A2">
        <w:rPr>
          <w:b/>
          <w:bCs/>
        </w:rPr>
        <w:t>/API</w:t>
      </w:r>
      <w:r w:rsidRPr="000362A2">
        <w:t xml:space="preserve">, rotation des clés, </w:t>
      </w:r>
      <w:r w:rsidRPr="000362A2">
        <w:rPr>
          <w:b/>
          <w:bCs/>
        </w:rPr>
        <w:t>journalisation</w:t>
      </w:r>
      <w:r w:rsidRPr="000362A2">
        <w:t xml:space="preserve"> et plans de réponse à incident.</w:t>
      </w:r>
    </w:p>
    <w:p w14:paraId="4DDB2CC3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t>PQC</w:t>
      </w:r>
      <w:r w:rsidRPr="000362A2">
        <w:t xml:space="preserve"> : lancer l’</w:t>
      </w:r>
      <w:r w:rsidRPr="000362A2">
        <w:rPr>
          <w:b/>
          <w:bCs/>
        </w:rPr>
        <w:t>inventaire des algorithmes</w:t>
      </w:r>
      <w:r w:rsidRPr="000362A2">
        <w:t xml:space="preserve"> et dépendances ; plan de migration priorisé.</w:t>
      </w:r>
    </w:p>
    <w:p w14:paraId="6C511652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t>Reporting</w:t>
      </w:r>
      <w:r w:rsidRPr="000362A2">
        <w:t xml:space="preserve"> : définir indicateurs </w:t>
      </w:r>
      <w:r w:rsidRPr="000362A2">
        <w:rPr>
          <w:b/>
          <w:bCs/>
        </w:rPr>
        <w:t>risque/conformité</w:t>
      </w:r>
      <w:r w:rsidRPr="000362A2">
        <w:t xml:space="preserve">, </w:t>
      </w:r>
      <w:r w:rsidRPr="000362A2">
        <w:rPr>
          <w:b/>
          <w:bCs/>
        </w:rPr>
        <w:t>origine des fonds</w:t>
      </w:r>
      <w:r w:rsidRPr="000362A2">
        <w:t xml:space="preserve">, impact </w:t>
      </w:r>
      <w:r w:rsidRPr="000362A2">
        <w:rPr>
          <w:b/>
          <w:bCs/>
        </w:rPr>
        <w:t>ESG</w:t>
      </w:r>
      <w:r w:rsidRPr="000362A2">
        <w:t xml:space="preserve">, et intégrer la piste </w:t>
      </w:r>
      <w:r w:rsidRPr="000362A2">
        <w:rPr>
          <w:i/>
          <w:iCs/>
        </w:rPr>
        <w:t>on-chain</w:t>
      </w:r>
      <w:r w:rsidRPr="000362A2">
        <w:t xml:space="preserve"> dans l’audit interne.</w:t>
      </w:r>
    </w:p>
    <w:p w14:paraId="7DD22DB0" w14:textId="77777777" w:rsidR="000362A2" w:rsidRPr="000362A2" w:rsidRDefault="000362A2" w:rsidP="000362A2">
      <w:pPr>
        <w:numPr>
          <w:ilvl w:val="0"/>
          <w:numId w:val="33"/>
        </w:numPr>
      </w:pPr>
      <w:r w:rsidRPr="000362A2">
        <w:rPr>
          <w:b/>
          <w:bCs/>
        </w:rPr>
        <w:t>Formation</w:t>
      </w:r>
      <w:r w:rsidRPr="000362A2">
        <w:t xml:space="preserve"> : monter en compétences métiers/IT/juridique (</w:t>
      </w:r>
      <w:proofErr w:type="spellStart"/>
      <w:r w:rsidRPr="000362A2">
        <w:t>MiCA</w:t>
      </w:r>
      <w:proofErr w:type="spellEnd"/>
      <w:r w:rsidRPr="000362A2">
        <w:t xml:space="preserve">, AML, sécurité </w:t>
      </w:r>
      <w:proofErr w:type="spellStart"/>
      <w:r w:rsidRPr="000362A2">
        <w:t>DeFi</w:t>
      </w:r>
      <w:proofErr w:type="spellEnd"/>
      <w:r w:rsidRPr="000362A2">
        <w:t>, tokenisation).</w:t>
      </w:r>
    </w:p>
    <w:p w14:paraId="032FBA58" w14:textId="77777777" w:rsidR="000362A2" w:rsidRPr="000362A2" w:rsidRDefault="000362A2" w:rsidP="000362A2">
      <w:r w:rsidRPr="000362A2">
        <w:pict w14:anchorId="496E7B08">
          <v:rect id="_x0000_i1098" style="width:0;height:1.5pt" o:hralign="center" o:hrstd="t" o:hr="t" fillcolor="#a0a0a0" stroked="f"/>
        </w:pict>
      </w:r>
    </w:p>
    <w:p w14:paraId="590C69C1" w14:textId="77777777" w:rsidR="000362A2" w:rsidRPr="000362A2" w:rsidRDefault="000362A2" w:rsidP="000362A2">
      <w:pPr>
        <w:rPr>
          <w:b/>
          <w:bCs/>
        </w:rPr>
      </w:pPr>
      <w:r w:rsidRPr="000362A2">
        <w:rPr>
          <w:b/>
          <w:bCs/>
        </w:rPr>
        <w:t>Bibliographie commentée (du plus récent au plus ancien)</w:t>
      </w:r>
    </w:p>
    <w:p w14:paraId="4C41FC43" w14:textId="77777777" w:rsidR="000362A2" w:rsidRPr="000362A2" w:rsidRDefault="000362A2" w:rsidP="000362A2">
      <w:pPr>
        <w:numPr>
          <w:ilvl w:val="0"/>
          <w:numId w:val="34"/>
        </w:numPr>
      </w:pPr>
      <w:r w:rsidRPr="000362A2">
        <w:rPr>
          <w:b/>
          <w:bCs/>
        </w:rPr>
        <w:t>Dossiers 2025 – Régulation &amp; conformité (UE)</w:t>
      </w:r>
      <w:r w:rsidRPr="000362A2">
        <w:t xml:space="preserve"> : synthèses sur la mise en musique de </w:t>
      </w:r>
      <w:proofErr w:type="spellStart"/>
      <w:r w:rsidRPr="000362A2">
        <w:rPr>
          <w:b/>
          <w:bCs/>
        </w:rPr>
        <w:t>MiCA</w:t>
      </w:r>
      <w:proofErr w:type="spellEnd"/>
      <w:r w:rsidRPr="000362A2">
        <w:t xml:space="preserve"> et l’opérationnalisation de la </w:t>
      </w:r>
      <w:proofErr w:type="spellStart"/>
      <w:r w:rsidRPr="000362A2">
        <w:rPr>
          <w:b/>
          <w:bCs/>
        </w:rPr>
        <w:t>Travel</w:t>
      </w:r>
      <w:proofErr w:type="spellEnd"/>
      <w:r w:rsidRPr="000362A2">
        <w:rPr>
          <w:b/>
          <w:bCs/>
        </w:rPr>
        <w:t xml:space="preserve"> Rule</w:t>
      </w:r>
      <w:r w:rsidRPr="000362A2">
        <w:t xml:space="preserve"> ; utiles pour cadrer licences, gouvernance et exigences de marché.</w:t>
      </w:r>
    </w:p>
    <w:p w14:paraId="1A777D72" w14:textId="77777777" w:rsidR="000362A2" w:rsidRPr="000362A2" w:rsidRDefault="000362A2" w:rsidP="000362A2">
      <w:pPr>
        <w:numPr>
          <w:ilvl w:val="0"/>
          <w:numId w:val="34"/>
        </w:numPr>
      </w:pPr>
      <w:r w:rsidRPr="000362A2">
        <w:rPr>
          <w:b/>
          <w:bCs/>
        </w:rPr>
        <w:t>Études 2025 – Sécurité &amp; traçabilité on-chain</w:t>
      </w:r>
      <w:r w:rsidRPr="000362A2">
        <w:t xml:space="preserve"> : articles de vulgarisation et cas concrets (enquêtes, saisies) montrant l’efficacité croissante des </w:t>
      </w:r>
      <w:r w:rsidRPr="000362A2">
        <w:rPr>
          <w:b/>
          <w:bCs/>
        </w:rPr>
        <w:t>analyses blockchain</w:t>
      </w:r>
      <w:r w:rsidRPr="000362A2">
        <w:t xml:space="preserve"> ; éclairent les obligations de preuve.</w:t>
      </w:r>
    </w:p>
    <w:p w14:paraId="75142F7D" w14:textId="77777777" w:rsidR="000362A2" w:rsidRPr="000362A2" w:rsidRDefault="000362A2" w:rsidP="000362A2">
      <w:pPr>
        <w:numPr>
          <w:ilvl w:val="0"/>
          <w:numId w:val="34"/>
        </w:numPr>
      </w:pPr>
      <w:r w:rsidRPr="000362A2">
        <w:rPr>
          <w:b/>
          <w:bCs/>
        </w:rPr>
        <w:t>Analyses 2025 – Risques post-quantique</w:t>
      </w:r>
      <w:r w:rsidRPr="000362A2">
        <w:t xml:space="preserve"> : ressources pédagogiques sur le passage aux algorithmes </w:t>
      </w:r>
      <w:r w:rsidRPr="000362A2">
        <w:rPr>
          <w:b/>
          <w:bCs/>
        </w:rPr>
        <w:t>PQC</w:t>
      </w:r>
      <w:r w:rsidRPr="000362A2">
        <w:t xml:space="preserve"> ; apportent une feuille de route de migration et des priorités sectorielles.</w:t>
      </w:r>
    </w:p>
    <w:p w14:paraId="226ECDA4" w14:textId="77777777" w:rsidR="000362A2" w:rsidRPr="000362A2" w:rsidRDefault="000362A2" w:rsidP="000362A2">
      <w:pPr>
        <w:numPr>
          <w:ilvl w:val="0"/>
          <w:numId w:val="34"/>
        </w:numPr>
      </w:pPr>
      <w:r w:rsidRPr="000362A2">
        <w:rPr>
          <w:b/>
          <w:bCs/>
        </w:rPr>
        <w:t>Cas d’école (2019–2023)</w:t>
      </w:r>
      <w:r w:rsidRPr="000362A2">
        <w:t xml:space="preserve"> – Incidents majeurs (ransomware, effondrements de plateformes, fraudes </w:t>
      </w:r>
      <w:proofErr w:type="spellStart"/>
      <w:r w:rsidRPr="000362A2">
        <w:t>DeFi</w:t>
      </w:r>
      <w:proofErr w:type="spellEnd"/>
      <w:r w:rsidRPr="000362A2">
        <w:t xml:space="preserve">) : servent de </w:t>
      </w:r>
      <w:r w:rsidRPr="000362A2">
        <w:rPr>
          <w:b/>
          <w:bCs/>
        </w:rPr>
        <w:t>contexte</w:t>
      </w:r>
      <w:r w:rsidRPr="000362A2">
        <w:t xml:space="preserve"> pour comprendre les exigences 2025 en matière d’audit, de garde et de gouvernance.</w:t>
      </w:r>
    </w:p>
    <w:p w14:paraId="277FA203" w14:textId="77777777" w:rsidR="00D81038" w:rsidRPr="004703B1" w:rsidRDefault="00D81038" w:rsidP="004703B1"/>
    <w:sectPr w:rsidR="00D81038" w:rsidRPr="004703B1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C7F8" w14:textId="77777777" w:rsidR="00EB631F" w:rsidRDefault="00EB631F" w:rsidP="004C7BF0">
      <w:r>
        <w:separator/>
      </w:r>
    </w:p>
  </w:endnote>
  <w:endnote w:type="continuationSeparator" w:id="0">
    <w:p w14:paraId="4BE4DF9E" w14:textId="77777777" w:rsidR="00EB631F" w:rsidRDefault="00EB631F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A228" w14:textId="77777777" w:rsidR="00EB631F" w:rsidRDefault="00EB631F" w:rsidP="004C7BF0">
      <w:r>
        <w:separator/>
      </w:r>
    </w:p>
  </w:footnote>
  <w:footnote w:type="continuationSeparator" w:id="0">
    <w:p w14:paraId="6FD60614" w14:textId="77777777" w:rsidR="00EB631F" w:rsidRDefault="00EB631F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1DD0"/>
    <w:multiLevelType w:val="multilevel"/>
    <w:tmpl w:val="C2F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39A4"/>
    <w:multiLevelType w:val="multilevel"/>
    <w:tmpl w:val="1AC2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07418"/>
    <w:multiLevelType w:val="multilevel"/>
    <w:tmpl w:val="FEA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526FF"/>
    <w:multiLevelType w:val="multilevel"/>
    <w:tmpl w:val="7CB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E699B"/>
    <w:multiLevelType w:val="multilevel"/>
    <w:tmpl w:val="3DEE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727F6"/>
    <w:multiLevelType w:val="multilevel"/>
    <w:tmpl w:val="7C0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927D0"/>
    <w:multiLevelType w:val="multilevel"/>
    <w:tmpl w:val="450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019AA"/>
    <w:multiLevelType w:val="multilevel"/>
    <w:tmpl w:val="A6B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A3EC9"/>
    <w:multiLevelType w:val="multilevel"/>
    <w:tmpl w:val="A6A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170BC"/>
    <w:multiLevelType w:val="hybridMultilevel"/>
    <w:tmpl w:val="BF26BDF2"/>
    <w:lvl w:ilvl="0" w:tplc="859C16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65765"/>
    <w:multiLevelType w:val="multilevel"/>
    <w:tmpl w:val="271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C7870"/>
    <w:multiLevelType w:val="multilevel"/>
    <w:tmpl w:val="696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A7A5A"/>
    <w:multiLevelType w:val="multilevel"/>
    <w:tmpl w:val="48B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70FC6"/>
    <w:multiLevelType w:val="multilevel"/>
    <w:tmpl w:val="9BD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D6B7F"/>
    <w:multiLevelType w:val="multilevel"/>
    <w:tmpl w:val="5BE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95D60"/>
    <w:multiLevelType w:val="multilevel"/>
    <w:tmpl w:val="E3D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B5D88"/>
    <w:multiLevelType w:val="multilevel"/>
    <w:tmpl w:val="DA3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6"/>
  </w:num>
  <w:num w:numId="2" w16cid:durableId="1969772821">
    <w:abstractNumId w:val="7"/>
  </w:num>
  <w:num w:numId="3" w16cid:durableId="993755049">
    <w:abstractNumId w:val="19"/>
  </w:num>
  <w:num w:numId="4" w16cid:durableId="88350905">
    <w:abstractNumId w:val="33"/>
  </w:num>
  <w:num w:numId="5" w16cid:durableId="1259873310">
    <w:abstractNumId w:val="0"/>
  </w:num>
  <w:num w:numId="6" w16cid:durableId="940913695">
    <w:abstractNumId w:val="16"/>
  </w:num>
  <w:num w:numId="7" w16cid:durableId="816412162">
    <w:abstractNumId w:val="21"/>
  </w:num>
  <w:num w:numId="8" w16cid:durableId="164636122">
    <w:abstractNumId w:val="31"/>
  </w:num>
  <w:num w:numId="9" w16cid:durableId="1391228641">
    <w:abstractNumId w:val="15"/>
  </w:num>
  <w:num w:numId="10" w16cid:durableId="1693265206">
    <w:abstractNumId w:val="12"/>
  </w:num>
  <w:num w:numId="11" w16cid:durableId="1273130144">
    <w:abstractNumId w:val="6"/>
  </w:num>
  <w:num w:numId="12" w16cid:durableId="1490556548">
    <w:abstractNumId w:val="30"/>
  </w:num>
  <w:num w:numId="13" w16cid:durableId="1488012275">
    <w:abstractNumId w:val="29"/>
  </w:num>
  <w:num w:numId="14" w16cid:durableId="669020599">
    <w:abstractNumId w:val="2"/>
  </w:num>
  <w:num w:numId="15" w16cid:durableId="818350440">
    <w:abstractNumId w:val="22"/>
  </w:num>
  <w:num w:numId="16" w16cid:durableId="1939824947">
    <w:abstractNumId w:val="32"/>
  </w:num>
  <w:num w:numId="17" w16cid:durableId="823933720">
    <w:abstractNumId w:val="17"/>
  </w:num>
  <w:num w:numId="18" w16cid:durableId="479734414">
    <w:abstractNumId w:val="14"/>
  </w:num>
  <w:num w:numId="19" w16cid:durableId="1067144690">
    <w:abstractNumId w:val="20"/>
  </w:num>
  <w:num w:numId="20" w16cid:durableId="416681180">
    <w:abstractNumId w:val="28"/>
  </w:num>
  <w:num w:numId="21" w16cid:durableId="231473669">
    <w:abstractNumId w:val="4"/>
  </w:num>
  <w:num w:numId="22" w16cid:durableId="1639264267">
    <w:abstractNumId w:val="9"/>
  </w:num>
  <w:num w:numId="23" w16cid:durableId="839006276">
    <w:abstractNumId w:val="18"/>
  </w:num>
  <w:num w:numId="24" w16cid:durableId="2122989526">
    <w:abstractNumId w:val="13"/>
  </w:num>
  <w:num w:numId="25" w16cid:durableId="305167686">
    <w:abstractNumId w:val="8"/>
  </w:num>
  <w:num w:numId="26" w16cid:durableId="1042099273">
    <w:abstractNumId w:val="11"/>
  </w:num>
  <w:num w:numId="27" w16cid:durableId="527568882">
    <w:abstractNumId w:val="23"/>
  </w:num>
  <w:num w:numId="28" w16cid:durableId="1706641299">
    <w:abstractNumId w:val="27"/>
  </w:num>
  <w:num w:numId="29" w16cid:durableId="1033308809">
    <w:abstractNumId w:val="10"/>
  </w:num>
  <w:num w:numId="30" w16cid:durableId="1967815450">
    <w:abstractNumId w:val="24"/>
  </w:num>
  <w:num w:numId="31" w16cid:durableId="126434488">
    <w:abstractNumId w:val="25"/>
  </w:num>
  <w:num w:numId="32" w16cid:durableId="1920943822">
    <w:abstractNumId w:val="3"/>
  </w:num>
  <w:num w:numId="33" w16cid:durableId="842009370">
    <w:abstractNumId w:val="1"/>
  </w:num>
  <w:num w:numId="34" w16cid:durableId="165356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362A2"/>
    <w:rsid w:val="0007241A"/>
    <w:rsid w:val="00115298"/>
    <w:rsid w:val="00135CDD"/>
    <w:rsid w:val="00151806"/>
    <w:rsid w:val="001D0EEB"/>
    <w:rsid w:val="001E273A"/>
    <w:rsid w:val="00316764"/>
    <w:rsid w:val="003276BD"/>
    <w:rsid w:val="00346F55"/>
    <w:rsid w:val="0044368F"/>
    <w:rsid w:val="004703B1"/>
    <w:rsid w:val="004A6242"/>
    <w:rsid w:val="004C7BF0"/>
    <w:rsid w:val="004D247E"/>
    <w:rsid w:val="005172DB"/>
    <w:rsid w:val="005335CF"/>
    <w:rsid w:val="005453AD"/>
    <w:rsid w:val="00580F46"/>
    <w:rsid w:val="005D3225"/>
    <w:rsid w:val="00620090"/>
    <w:rsid w:val="006460AB"/>
    <w:rsid w:val="00665BB7"/>
    <w:rsid w:val="00677D09"/>
    <w:rsid w:val="006A78B6"/>
    <w:rsid w:val="006B7971"/>
    <w:rsid w:val="00713AC4"/>
    <w:rsid w:val="007C05B7"/>
    <w:rsid w:val="007F7037"/>
    <w:rsid w:val="00830A03"/>
    <w:rsid w:val="008608D3"/>
    <w:rsid w:val="008C2BE6"/>
    <w:rsid w:val="00925C06"/>
    <w:rsid w:val="009439F3"/>
    <w:rsid w:val="009506C2"/>
    <w:rsid w:val="00960C5A"/>
    <w:rsid w:val="00964131"/>
    <w:rsid w:val="00965BD9"/>
    <w:rsid w:val="00B4568C"/>
    <w:rsid w:val="00B649B3"/>
    <w:rsid w:val="00BF23A6"/>
    <w:rsid w:val="00CA4633"/>
    <w:rsid w:val="00CE15A3"/>
    <w:rsid w:val="00D016DC"/>
    <w:rsid w:val="00D81038"/>
    <w:rsid w:val="00EB631F"/>
    <w:rsid w:val="00F45C6B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1038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1038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2024-10-21T05:24:00Z</cp:lastPrinted>
  <dcterms:created xsi:type="dcterms:W3CDTF">2025-10-17T06:12:00Z</dcterms:created>
  <dcterms:modified xsi:type="dcterms:W3CDTF">2025-10-17T06:15:00Z</dcterms:modified>
</cp:coreProperties>
</file>