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A734" w14:textId="77777777" w:rsidR="008C2BE6" w:rsidRPr="008C2BE6" w:rsidRDefault="008C2BE6" w:rsidP="008C2BE6">
      <w:pPr>
        <w:pStyle w:val="Titre1"/>
      </w:pPr>
      <w:r w:rsidRPr="008C2BE6">
        <w:t>Technologies – Synthèse 2025 : infrastructures, innovations et durabilité</w:t>
      </w:r>
    </w:p>
    <w:p w14:paraId="0FD7B60F" w14:textId="77777777" w:rsidR="008C2BE6" w:rsidRPr="008C2BE6" w:rsidRDefault="008C2BE6" w:rsidP="008C2BE6">
      <w:pPr>
        <w:rPr>
          <w:b/>
          <w:bCs/>
        </w:rPr>
      </w:pPr>
      <w:r w:rsidRPr="008C2BE6">
        <w:rPr>
          <w:b/>
          <w:bCs/>
        </w:rPr>
        <w:t>1. Modernisation des infrastructures : vers l’IT frugale et automatisée</w:t>
      </w:r>
    </w:p>
    <w:p w14:paraId="617013EC" w14:textId="77777777" w:rsidR="008C2BE6" w:rsidRPr="008C2BE6" w:rsidRDefault="008C2BE6" w:rsidP="008C2BE6">
      <w:r w:rsidRPr="008C2BE6">
        <w:rPr>
          <w:b/>
          <w:bCs/>
        </w:rPr>
        <w:t>Sources :</w:t>
      </w:r>
      <w:r w:rsidRPr="008C2BE6">
        <w:t xml:space="preserve"> Le Monde Informatique, HPE, 2025</w:t>
      </w:r>
    </w:p>
    <w:p w14:paraId="23B92099" w14:textId="77777777" w:rsidR="008C2BE6" w:rsidRPr="008C2BE6" w:rsidRDefault="008C2BE6" w:rsidP="008C2BE6">
      <w:r w:rsidRPr="008C2BE6">
        <w:t xml:space="preserve">Les entreprises modernisent leurs infrastructures pour répondre à la double contrainte </w:t>
      </w:r>
      <w:r w:rsidRPr="008C2BE6">
        <w:rPr>
          <w:b/>
          <w:bCs/>
        </w:rPr>
        <w:t>performance / durabilité</w:t>
      </w:r>
      <w:r w:rsidRPr="008C2BE6">
        <w:t xml:space="preserve"> :</w:t>
      </w:r>
    </w:p>
    <w:p w14:paraId="10245B96" w14:textId="77777777" w:rsidR="008C2BE6" w:rsidRPr="008C2BE6" w:rsidRDefault="008C2BE6" w:rsidP="008C2BE6">
      <w:pPr>
        <w:numPr>
          <w:ilvl w:val="0"/>
          <w:numId w:val="20"/>
        </w:numPr>
      </w:pPr>
      <w:r w:rsidRPr="008C2BE6">
        <w:t xml:space="preserve">Les </w:t>
      </w:r>
      <w:r w:rsidRPr="008C2BE6">
        <w:rPr>
          <w:b/>
          <w:bCs/>
        </w:rPr>
        <w:t>datacenters hybrides</w:t>
      </w:r>
      <w:r w:rsidRPr="008C2BE6">
        <w:t xml:space="preserve"> dominent le marché : 62 % des entreprises combinent désormais cloud et infrastructures locales.</w:t>
      </w:r>
    </w:p>
    <w:p w14:paraId="5DDA4057" w14:textId="77777777" w:rsidR="008C2BE6" w:rsidRPr="008C2BE6" w:rsidRDefault="008C2BE6" w:rsidP="008C2BE6">
      <w:pPr>
        <w:numPr>
          <w:ilvl w:val="0"/>
          <w:numId w:val="20"/>
        </w:numPr>
      </w:pPr>
      <w:r w:rsidRPr="008C2BE6">
        <w:t>Les nouvelles architectures “</w:t>
      </w:r>
      <w:r w:rsidRPr="008C2BE6">
        <w:rPr>
          <w:b/>
          <w:bCs/>
        </w:rPr>
        <w:t>software-defined</w:t>
      </w:r>
      <w:r w:rsidRPr="008C2BE6">
        <w:t xml:space="preserve">” permettent de réduire jusqu’à </w:t>
      </w:r>
      <w:r w:rsidRPr="008C2BE6">
        <w:rPr>
          <w:b/>
          <w:bCs/>
        </w:rPr>
        <w:t>65 % la consommation énergétique</w:t>
      </w:r>
      <w:r w:rsidRPr="008C2BE6">
        <w:t xml:space="preserve"> en virtualisant le stockage et le réseau.</w:t>
      </w:r>
    </w:p>
    <w:p w14:paraId="18E321F3" w14:textId="77777777" w:rsidR="008C2BE6" w:rsidRPr="008C2BE6" w:rsidRDefault="008C2BE6" w:rsidP="008C2BE6">
      <w:pPr>
        <w:numPr>
          <w:ilvl w:val="0"/>
          <w:numId w:val="20"/>
        </w:numPr>
      </w:pPr>
      <w:r w:rsidRPr="008C2BE6">
        <w:t xml:space="preserve">La </w:t>
      </w:r>
      <w:r w:rsidRPr="008C2BE6">
        <w:rPr>
          <w:b/>
          <w:bCs/>
        </w:rPr>
        <w:t>gestion par IA</w:t>
      </w:r>
      <w:r w:rsidRPr="008C2BE6">
        <w:t xml:space="preserve"> des flux d’énergie et de refroidissement se généralise, améliorant la disponibilité tout en réduisant les coûts d’exploitation.</w:t>
      </w:r>
    </w:p>
    <w:p w14:paraId="5C9A20AC" w14:textId="77777777" w:rsidR="008C2BE6" w:rsidRPr="008C2BE6" w:rsidRDefault="008C2BE6" w:rsidP="008C2BE6">
      <w:pPr>
        <w:numPr>
          <w:ilvl w:val="0"/>
          <w:numId w:val="20"/>
        </w:numPr>
      </w:pPr>
      <w:r w:rsidRPr="008C2BE6">
        <w:t xml:space="preserve">L’essor du </w:t>
      </w:r>
      <w:r w:rsidRPr="008C2BE6">
        <w:rPr>
          <w:b/>
          <w:bCs/>
        </w:rPr>
        <w:t>FinOps + GreenOps</w:t>
      </w:r>
      <w:r w:rsidRPr="008C2BE6">
        <w:t xml:space="preserve"> transforme la gestion IT : analyse en temps réel des coûts, du PUE et des émissions carbone.</w:t>
      </w:r>
    </w:p>
    <w:p w14:paraId="1FE44592" w14:textId="77777777" w:rsidR="008C2BE6" w:rsidRPr="008C2BE6" w:rsidRDefault="008C2BE6" w:rsidP="008C2BE6">
      <w:r w:rsidRPr="008C2BE6">
        <w:rPr>
          <w:b/>
          <w:bCs/>
        </w:rPr>
        <w:t>À retenir :</w:t>
      </w:r>
      <w:r w:rsidRPr="008C2BE6">
        <w:t xml:space="preserve"> la modernisation 2025 vise la </w:t>
      </w:r>
      <w:r w:rsidRPr="008C2BE6">
        <w:rPr>
          <w:b/>
          <w:bCs/>
        </w:rPr>
        <w:t>sobriété numérique</w:t>
      </w:r>
      <w:r w:rsidRPr="008C2BE6">
        <w:t>, avec des infrastructures auto-ajustables et supervisées par IA.</w:t>
      </w:r>
    </w:p>
    <w:p w14:paraId="134DB8C6" w14:textId="77777777" w:rsidR="008C2BE6" w:rsidRPr="008C2BE6" w:rsidRDefault="008C2BE6" w:rsidP="008C2BE6">
      <w:r w:rsidRPr="008C2BE6">
        <w:pict w14:anchorId="0485CBCC">
          <v:rect id="_x0000_i1089" style="width:0;height:1.5pt" o:hralign="center" o:hrstd="t" o:hr="t" fillcolor="#a0a0a0" stroked="f"/>
        </w:pict>
      </w:r>
    </w:p>
    <w:p w14:paraId="27B64964" w14:textId="77777777" w:rsidR="008C2BE6" w:rsidRPr="008C2BE6" w:rsidRDefault="008C2BE6" w:rsidP="008C2BE6">
      <w:pPr>
        <w:rPr>
          <w:b/>
          <w:bCs/>
        </w:rPr>
      </w:pPr>
      <w:r w:rsidRPr="008C2BE6">
        <w:rPr>
          <w:b/>
          <w:bCs/>
        </w:rPr>
        <w:t>2. Réseaux et connectivité : 6G, edge et cybersécurité</w:t>
      </w:r>
    </w:p>
    <w:p w14:paraId="172A436B" w14:textId="77777777" w:rsidR="008C2BE6" w:rsidRPr="008C2BE6" w:rsidRDefault="008C2BE6" w:rsidP="008C2BE6">
      <w:r w:rsidRPr="008C2BE6">
        <w:rPr>
          <w:b/>
          <w:bCs/>
        </w:rPr>
        <w:t>Sources :</w:t>
      </w:r>
      <w:r w:rsidRPr="008C2BE6">
        <w:t xml:space="preserve"> Le Monde Informatique, CBRE, Usine Digitale, 2025</w:t>
      </w:r>
    </w:p>
    <w:p w14:paraId="4B691B4A" w14:textId="77777777" w:rsidR="008C2BE6" w:rsidRPr="008C2BE6" w:rsidRDefault="008C2BE6" w:rsidP="008C2BE6">
      <w:pPr>
        <w:numPr>
          <w:ilvl w:val="0"/>
          <w:numId w:val="21"/>
        </w:numPr>
      </w:pPr>
      <w:r w:rsidRPr="008C2BE6">
        <w:t xml:space="preserve">La </w:t>
      </w:r>
      <w:r w:rsidRPr="008C2BE6">
        <w:rPr>
          <w:b/>
          <w:bCs/>
        </w:rPr>
        <w:t>6G</w:t>
      </w:r>
      <w:r w:rsidRPr="008C2BE6">
        <w:t xml:space="preserve"> franchit un cap expérimental (record à </w:t>
      </w:r>
      <w:r w:rsidRPr="008C2BE6">
        <w:rPr>
          <w:b/>
          <w:bCs/>
        </w:rPr>
        <w:t>938 Gbps</w:t>
      </w:r>
      <w:r w:rsidRPr="008C2BE6">
        <w:t>, université de Londres), posant les bases de communications ultra-rapides pour l’IA et l’IoT industriel.</w:t>
      </w:r>
    </w:p>
    <w:p w14:paraId="1A48C14C" w14:textId="77777777" w:rsidR="008C2BE6" w:rsidRPr="008C2BE6" w:rsidRDefault="008C2BE6" w:rsidP="008C2BE6">
      <w:pPr>
        <w:numPr>
          <w:ilvl w:val="0"/>
          <w:numId w:val="21"/>
        </w:numPr>
      </w:pPr>
      <w:r w:rsidRPr="008C2BE6">
        <w:t xml:space="preserve">Le </w:t>
      </w:r>
      <w:r w:rsidRPr="008C2BE6">
        <w:rPr>
          <w:b/>
          <w:bCs/>
        </w:rPr>
        <w:t>edge computing</w:t>
      </w:r>
      <w:r w:rsidRPr="008C2BE6">
        <w:t xml:space="preserve"> (traitement local des données) gagne du terrain : il réduit la latence et les coûts de bande passante pour les véhicules autonomes, la santé et les usines connectées.</w:t>
      </w:r>
    </w:p>
    <w:p w14:paraId="742C4B29" w14:textId="77777777" w:rsidR="008C2BE6" w:rsidRPr="008C2BE6" w:rsidRDefault="008C2BE6" w:rsidP="008C2BE6">
      <w:pPr>
        <w:numPr>
          <w:ilvl w:val="0"/>
          <w:numId w:val="21"/>
        </w:numPr>
      </w:pPr>
      <w:r w:rsidRPr="008C2BE6">
        <w:t xml:space="preserve">Les opérateurs européens expérimentent des </w:t>
      </w:r>
      <w:r w:rsidRPr="008C2BE6">
        <w:rPr>
          <w:b/>
          <w:bCs/>
        </w:rPr>
        <w:t>réseaux souverains 6G</w:t>
      </w:r>
      <w:r w:rsidRPr="008C2BE6">
        <w:t xml:space="preserve"> intégrant chiffrement quantique et segmentation dynamique.</w:t>
      </w:r>
    </w:p>
    <w:p w14:paraId="624C59D4" w14:textId="77777777" w:rsidR="008C2BE6" w:rsidRPr="008C2BE6" w:rsidRDefault="008C2BE6" w:rsidP="008C2BE6">
      <w:pPr>
        <w:numPr>
          <w:ilvl w:val="0"/>
          <w:numId w:val="21"/>
        </w:numPr>
      </w:pPr>
      <w:r w:rsidRPr="008C2BE6">
        <w:t xml:space="preserve">La sécurisation des équipements réseau devient critique : 2025 voit une explosion des attaques </w:t>
      </w:r>
      <w:r w:rsidRPr="008C2BE6">
        <w:rPr>
          <w:b/>
          <w:bCs/>
        </w:rPr>
        <w:t>supply chain</w:t>
      </w:r>
      <w:r w:rsidRPr="008C2BE6">
        <w:t xml:space="preserve"> sur les composants IoT et industriels (Mic-e-Mouse).</w:t>
      </w:r>
    </w:p>
    <w:p w14:paraId="261F16A0" w14:textId="77777777" w:rsidR="008C2BE6" w:rsidRPr="008C2BE6" w:rsidRDefault="008C2BE6" w:rsidP="008C2BE6">
      <w:r w:rsidRPr="008C2BE6">
        <w:rPr>
          <w:b/>
          <w:bCs/>
        </w:rPr>
        <w:t>À retenir :</w:t>
      </w:r>
      <w:r w:rsidRPr="008C2BE6">
        <w:t xml:space="preserve"> la 6G et le edge constituent le socle des systèmes </w:t>
      </w:r>
      <w:r w:rsidRPr="008C2BE6">
        <w:rPr>
          <w:b/>
          <w:bCs/>
        </w:rPr>
        <w:t>autonomes et résilients</w:t>
      </w:r>
      <w:r w:rsidRPr="008C2BE6">
        <w:t>, mais nécessitent un contrôle strict de la chaîne d’approvisionnement.</w:t>
      </w:r>
    </w:p>
    <w:p w14:paraId="11B3AE3A" w14:textId="77777777" w:rsidR="008C2BE6" w:rsidRPr="008C2BE6" w:rsidRDefault="008C2BE6" w:rsidP="008C2BE6">
      <w:r w:rsidRPr="008C2BE6">
        <w:pict w14:anchorId="1BE7FD78">
          <v:rect id="_x0000_i1090" style="width:0;height:1.5pt" o:hralign="center" o:hrstd="t" o:hr="t" fillcolor="#a0a0a0" stroked="f"/>
        </w:pict>
      </w:r>
    </w:p>
    <w:p w14:paraId="352FA017" w14:textId="77777777" w:rsidR="008C2BE6" w:rsidRPr="008C2BE6" w:rsidRDefault="008C2BE6" w:rsidP="008C2BE6">
      <w:pPr>
        <w:rPr>
          <w:b/>
          <w:bCs/>
        </w:rPr>
      </w:pPr>
      <w:r w:rsidRPr="008C2BE6">
        <w:rPr>
          <w:b/>
          <w:bCs/>
        </w:rPr>
        <w:t>3. IA matérielle : puces spécialisées et souveraineté de calcul</w:t>
      </w:r>
    </w:p>
    <w:p w14:paraId="7F1D74F5" w14:textId="77777777" w:rsidR="008C2BE6" w:rsidRPr="008C2BE6" w:rsidRDefault="008C2BE6" w:rsidP="008C2BE6">
      <w:r w:rsidRPr="008C2BE6">
        <w:rPr>
          <w:b/>
          <w:bCs/>
        </w:rPr>
        <w:t>Sources :</w:t>
      </w:r>
      <w:r w:rsidRPr="008C2BE6">
        <w:t xml:space="preserve"> Le Monde Informatique, Developpez.com, 2025</w:t>
      </w:r>
    </w:p>
    <w:p w14:paraId="281CDCB5" w14:textId="77777777" w:rsidR="008C2BE6" w:rsidRPr="008C2BE6" w:rsidRDefault="008C2BE6" w:rsidP="008C2BE6">
      <w:pPr>
        <w:numPr>
          <w:ilvl w:val="0"/>
          <w:numId w:val="22"/>
        </w:numPr>
      </w:pPr>
      <w:r w:rsidRPr="008C2BE6">
        <w:t xml:space="preserve">Les besoins en puissance de calcul explosent : la </w:t>
      </w:r>
      <w:r w:rsidRPr="008C2BE6">
        <w:rPr>
          <w:b/>
          <w:bCs/>
        </w:rPr>
        <w:t>consommation GPU mondiale</w:t>
      </w:r>
      <w:r w:rsidRPr="008C2BE6">
        <w:t xml:space="preserve"> double entre 2023 et 2025, tirée par les modèles d’IA générative.</w:t>
      </w:r>
    </w:p>
    <w:p w14:paraId="764BCF69" w14:textId="77777777" w:rsidR="008C2BE6" w:rsidRPr="008C2BE6" w:rsidRDefault="008C2BE6" w:rsidP="008C2BE6">
      <w:pPr>
        <w:numPr>
          <w:ilvl w:val="0"/>
          <w:numId w:val="22"/>
        </w:numPr>
      </w:pPr>
      <w:r w:rsidRPr="008C2BE6">
        <w:t xml:space="preserve">L’Europe investit dans des </w:t>
      </w:r>
      <w:r w:rsidRPr="008C2BE6">
        <w:rPr>
          <w:b/>
          <w:bCs/>
        </w:rPr>
        <w:t>architectures souveraines</w:t>
      </w:r>
      <w:r w:rsidRPr="008C2BE6">
        <w:t xml:space="preserve"> (SiPearl, RISC-V, BullSequana AI) pour réduire la dépendance à Nvidia.</w:t>
      </w:r>
    </w:p>
    <w:p w14:paraId="5560F02C" w14:textId="77777777" w:rsidR="008C2BE6" w:rsidRPr="008C2BE6" w:rsidRDefault="008C2BE6" w:rsidP="008C2BE6">
      <w:pPr>
        <w:numPr>
          <w:ilvl w:val="0"/>
          <w:numId w:val="22"/>
        </w:numPr>
      </w:pPr>
      <w:r w:rsidRPr="008C2BE6">
        <w:t xml:space="preserve">De nouveaux acteurs comme </w:t>
      </w:r>
      <w:r w:rsidRPr="008C2BE6">
        <w:rPr>
          <w:b/>
          <w:bCs/>
        </w:rPr>
        <w:t>Mistral AI</w:t>
      </w:r>
      <w:r w:rsidRPr="008C2BE6">
        <w:t xml:space="preserve"> développent des modèles open source nécessitant moins de ressources GPU.</w:t>
      </w:r>
    </w:p>
    <w:p w14:paraId="02EA99BC" w14:textId="77777777" w:rsidR="008C2BE6" w:rsidRPr="008C2BE6" w:rsidRDefault="008C2BE6" w:rsidP="008C2BE6">
      <w:pPr>
        <w:numPr>
          <w:ilvl w:val="0"/>
          <w:numId w:val="22"/>
        </w:numPr>
      </w:pPr>
      <w:r w:rsidRPr="008C2BE6">
        <w:t xml:space="preserve">Les États membres soutiennent la recherche sur les </w:t>
      </w:r>
      <w:r w:rsidRPr="008C2BE6">
        <w:rPr>
          <w:b/>
          <w:bCs/>
        </w:rPr>
        <w:t>circuits neuromorphiques</w:t>
      </w:r>
      <w:r w:rsidRPr="008C2BE6">
        <w:t xml:space="preserve"> et la </w:t>
      </w:r>
      <w:r w:rsidRPr="008C2BE6">
        <w:rPr>
          <w:b/>
          <w:bCs/>
        </w:rPr>
        <w:t>photonique</w:t>
      </w:r>
      <w:r w:rsidRPr="008C2BE6">
        <w:t>, permettant un apprentissage plus sobre et rapide.</w:t>
      </w:r>
    </w:p>
    <w:p w14:paraId="7D187B4A" w14:textId="77777777" w:rsidR="008C2BE6" w:rsidRPr="008C2BE6" w:rsidRDefault="008C2BE6" w:rsidP="008C2BE6">
      <w:r w:rsidRPr="008C2BE6">
        <w:rPr>
          <w:b/>
          <w:bCs/>
        </w:rPr>
        <w:lastRenderedPageBreak/>
        <w:t>À retenir :</w:t>
      </w:r>
      <w:r w:rsidRPr="008C2BE6">
        <w:t xml:space="preserve"> la souveraineté passe aussi par le </w:t>
      </w:r>
      <w:r w:rsidRPr="008C2BE6">
        <w:rPr>
          <w:b/>
          <w:bCs/>
        </w:rPr>
        <w:t>calcul</w:t>
      </w:r>
      <w:r w:rsidRPr="008C2BE6">
        <w:t>, avec une redéfinition des chaînes de production de puces et une priorité donnée à l’efficacité énergétique.</w:t>
      </w:r>
    </w:p>
    <w:p w14:paraId="2F3EB65B" w14:textId="77777777" w:rsidR="008C2BE6" w:rsidRPr="008C2BE6" w:rsidRDefault="008C2BE6" w:rsidP="008C2BE6">
      <w:r w:rsidRPr="008C2BE6">
        <w:pict w14:anchorId="2DF3AC74">
          <v:rect id="_x0000_i1091" style="width:0;height:1.5pt" o:hralign="center" o:hrstd="t" o:hr="t" fillcolor="#a0a0a0" stroked="f"/>
        </w:pict>
      </w:r>
    </w:p>
    <w:p w14:paraId="13E67DD4" w14:textId="77777777" w:rsidR="008C2BE6" w:rsidRPr="008C2BE6" w:rsidRDefault="008C2BE6" w:rsidP="008C2BE6">
      <w:pPr>
        <w:rPr>
          <w:b/>
          <w:bCs/>
        </w:rPr>
      </w:pPr>
      <w:r w:rsidRPr="008C2BE6">
        <w:rPr>
          <w:b/>
          <w:bCs/>
        </w:rPr>
        <w:t>4. Informatique quantique et sécurité</w:t>
      </w:r>
    </w:p>
    <w:p w14:paraId="0C75ED69" w14:textId="77777777" w:rsidR="008C2BE6" w:rsidRPr="008C2BE6" w:rsidRDefault="008C2BE6" w:rsidP="008C2BE6">
      <w:r w:rsidRPr="008C2BE6">
        <w:rPr>
          <w:b/>
          <w:bCs/>
        </w:rPr>
        <w:t>Sources :</w:t>
      </w:r>
      <w:r w:rsidRPr="008C2BE6">
        <w:t xml:space="preserve"> IBM, ANSSI, Le Monde Informatique, 2025</w:t>
      </w:r>
    </w:p>
    <w:p w14:paraId="23217BE2" w14:textId="77777777" w:rsidR="008C2BE6" w:rsidRPr="008C2BE6" w:rsidRDefault="008C2BE6" w:rsidP="008C2BE6">
      <w:pPr>
        <w:numPr>
          <w:ilvl w:val="0"/>
          <w:numId w:val="23"/>
        </w:numPr>
      </w:pPr>
      <w:r w:rsidRPr="008C2BE6">
        <w:t>Les grands constructeurs (IBM, Google, Pasqal) multiplient les annonces de processeurs quantiques &gt; 1000 qubits.</w:t>
      </w:r>
    </w:p>
    <w:p w14:paraId="569A636B" w14:textId="77777777" w:rsidR="008C2BE6" w:rsidRPr="008C2BE6" w:rsidRDefault="008C2BE6" w:rsidP="008C2BE6">
      <w:pPr>
        <w:numPr>
          <w:ilvl w:val="0"/>
          <w:numId w:val="23"/>
        </w:numPr>
      </w:pPr>
      <w:r w:rsidRPr="008C2BE6">
        <w:t>L’</w:t>
      </w:r>
      <w:r w:rsidRPr="008C2BE6">
        <w:rPr>
          <w:b/>
          <w:bCs/>
        </w:rPr>
        <w:t>ANSSI</w:t>
      </w:r>
      <w:r w:rsidRPr="008C2BE6">
        <w:t xml:space="preserve"> publie en 2025 une </w:t>
      </w:r>
      <w:r w:rsidRPr="008C2BE6">
        <w:rPr>
          <w:b/>
          <w:bCs/>
        </w:rPr>
        <w:t>feuille de route post-quantique</w:t>
      </w:r>
      <w:r w:rsidRPr="008C2BE6">
        <w:t xml:space="preserve"> prévoyant la migration progressive vers des algorithmes résistants d’ici 2030.</w:t>
      </w:r>
    </w:p>
    <w:p w14:paraId="7BE4E34C" w14:textId="77777777" w:rsidR="008C2BE6" w:rsidRPr="008C2BE6" w:rsidRDefault="008C2BE6" w:rsidP="008C2BE6">
      <w:pPr>
        <w:numPr>
          <w:ilvl w:val="0"/>
          <w:numId w:val="23"/>
        </w:numPr>
      </w:pPr>
      <w:r w:rsidRPr="008C2BE6">
        <w:t xml:space="preserve">Les infrastructures critiques (banques, défense, santé) sont invitées à </w:t>
      </w:r>
      <w:r w:rsidRPr="008C2BE6">
        <w:rPr>
          <w:b/>
          <w:bCs/>
        </w:rPr>
        <w:t>recenser leurs dépendances cryptographiques</w:t>
      </w:r>
      <w:r w:rsidRPr="008C2BE6">
        <w:t xml:space="preserve"> et à initier des pilotes PQC.</w:t>
      </w:r>
    </w:p>
    <w:p w14:paraId="16F0DC3D" w14:textId="77777777" w:rsidR="008C2BE6" w:rsidRPr="008C2BE6" w:rsidRDefault="008C2BE6" w:rsidP="008C2BE6">
      <w:pPr>
        <w:numPr>
          <w:ilvl w:val="0"/>
          <w:numId w:val="23"/>
        </w:numPr>
      </w:pPr>
      <w:r w:rsidRPr="008C2BE6">
        <w:t>Les entreprises non préparées risquent de subir un “</w:t>
      </w:r>
      <w:r w:rsidRPr="008C2BE6">
        <w:rPr>
          <w:b/>
          <w:bCs/>
        </w:rPr>
        <w:t>harvest now, decrypt later</w:t>
      </w:r>
      <w:r w:rsidRPr="008C2BE6">
        <w:t>” : vol de données chiffrées aujourd’hui, déchiffrables demain.</w:t>
      </w:r>
    </w:p>
    <w:p w14:paraId="313DCCEE" w14:textId="77777777" w:rsidR="008C2BE6" w:rsidRPr="008C2BE6" w:rsidRDefault="008C2BE6" w:rsidP="008C2BE6">
      <w:r w:rsidRPr="008C2BE6">
        <w:rPr>
          <w:b/>
          <w:bCs/>
        </w:rPr>
        <w:t>À retenir :</w:t>
      </w:r>
      <w:r w:rsidRPr="008C2BE6">
        <w:t xml:space="preserve"> la décennie 2025–2035 sera celle de la </w:t>
      </w:r>
      <w:r w:rsidRPr="008C2BE6">
        <w:rPr>
          <w:b/>
          <w:bCs/>
        </w:rPr>
        <w:t>transition post-quantique</w:t>
      </w:r>
      <w:r w:rsidRPr="008C2BE6">
        <w:t>, combinant nouvelles normes, certifications et vigilance long terme.</w:t>
      </w:r>
    </w:p>
    <w:p w14:paraId="2AEB85DA" w14:textId="77777777" w:rsidR="008C2BE6" w:rsidRPr="008C2BE6" w:rsidRDefault="008C2BE6" w:rsidP="008C2BE6">
      <w:r w:rsidRPr="008C2BE6">
        <w:pict w14:anchorId="782B9908">
          <v:rect id="_x0000_i1092" style="width:0;height:1.5pt" o:hralign="center" o:hrstd="t" o:hr="t" fillcolor="#a0a0a0" stroked="f"/>
        </w:pict>
      </w:r>
    </w:p>
    <w:p w14:paraId="287AC94C" w14:textId="77777777" w:rsidR="008C2BE6" w:rsidRPr="008C2BE6" w:rsidRDefault="008C2BE6" w:rsidP="008C2BE6">
      <w:pPr>
        <w:rPr>
          <w:b/>
          <w:bCs/>
        </w:rPr>
      </w:pPr>
      <w:r w:rsidRPr="008C2BE6">
        <w:rPr>
          <w:b/>
          <w:bCs/>
        </w:rPr>
        <w:t>5. Durabilité technologique et environnement</w:t>
      </w:r>
    </w:p>
    <w:p w14:paraId="09893EEE" w14:textId="77777777" w:rsidR="008C2BE6" w:rsidRPr="008C2BE6" w:rsidRDefault="008C2BE6" w:rsidP="008C2BE6">
      <w:r w:rsidRPr="008C2BE6">
        <w:rPr>
          <w:b/>
          <w:bCs/>
        </w:rPr>
        <w:t>Sources :</w:t>
      </w:r>
      <w:r w:rsidRPr="008C2BE6">
        <w:t xml:space="preserve"> Uptime Institute, Le Monde Informatique, Jiliti, 2025</w:t>
      </w:r>
    </w:p>
    <w:p w14:paraId="713FED86" w14:textId="77777777" w:rsidR="008C2BE6" w:rsidRPr="008C2BE6" w:rsidRDefault="008C2BE6" w:rsidP="008C2BE6">
      <w:pPr>
        <w:numPr>
          <w:ilvl w:val="0"/>
          <w:numId w:val="24"/>
        </w:numPr>
      </w:pPr>
      <w:r w:rsidRPr="008C2BE6">
        <w:t>Moins de 50 % des opérateurs de datacenters mesurent encore leurs indicateurs de durabilité (PUE, WUE, recyclage de chaleur).</w:t>
      </w:r>
    </w:p>
    <w:p w14:paraId="3C882F4E" w14:textId="77777777" w:rsidR="008C2BE6" w:rsidRPr="008C2BE6" w:rsidRDefault="008C2BE6" w:rsidP="008C2BE6">
      <w:pPr>
        <w:numPr>
          <w:ilvl w:val="0"/>
          <w:numId w:val="24"/>
        </w:numPr>
      </w:pPr>
      <w:r w:rsidRPr="008C2BE6">
        <w:t xml:space="preserve">L’UE prépare une </w:t>
      </w:r>
      <w:r w:rsidRPr="008C2BE6">
        <w:rPr>
          <w:b/>
          <w:bCs/>
        </w:rPr>
        <w:t>réglementation sur l’efficacité hydrique</w:t>
      </w:r>
      <w:r w:rsidRPr="008C2BE6">
        <w:t xml:space="preserve"> pour 2026, obligeant les exploitants à instrumenter leurs sites (capteurs IoT, reporting d’eau).</w:t>
      </w:r>
    </w:p>
    <w:p w14:paraId="4F8BA677" w14:textId="77777777" w:rsidR="008C2BE6" w:rsidRPr="008C2BE6" w:rsidRDefault="008C2BE6" w:rsidP="008C2BE6">
      <w:pPr>
        <w:numPr>
          <w:ilvl w:val="0"/>
          <w:numId w:val="24"/>
        </w:numPr>
      </w:pPr>
      <w:r w:rsidRPr="008C2BE6">
        <w:t xml:space="preserve">Le </w:t>
      </w:r>
      <w:r w:rsidRPr="008C2BE6">
        <w:rPr>
          <w:b/>
          <w:bCs/>
        </w:rPr>
        <w:t>refroidissement liquide direct</w:t>
      </w:r>
      <w:r w:rsidRPr="008C2BE6">
        <w:t xml:space="preserve"> se généralise pour réduire la consommation énergétique liée à l’IA.</w:t>
      </w:r>
    </w:p>
    <w:p w14:paraId="3B7E08FC" w14:textId="77777777" w:rsidR="008C2BE6" w:rsidRPr="008C2BE6" w:rsidRDefault="008C2BE6" w:rsidP="008C2BE6">
      <w:pPr>
        <w:numPr>
          <w:ilvl w:val="0"/>
          <w:numId w:val="24"/>
        </w:numPr>
      </w:pPr>
      <w:r w:rsidRPr="008C2BE6">
        <w:t>Les solutions d’</w:t>
      </w:r>
      <w:r w:rsidRPr="008C2BE6">
        <w:rPr>
          <w:b/>
          <w:bCs/>
        </w:rPr>
        <w:t>analyse carbone IT</w:t>
      </w:r>
      <w:r w:rsidRPr="008C2BE6">
        <w:t xml:space="preserve"> (comparateur Jiliti, GreenOps) permettent désormais d’évaluer le coût CO₂ des workloads.</w:t>
      </w:r>
    </w:p>
    <w:p w14:paraId="6D2B78A5" w14:textId="77777777" w:rsidR="008C2BE6" w:rsidRPr="008C2BE6" w:rsidRDefault="008C2BE6" w:rsidP="008C2BE6">
      <w:r w:rsidRPr="008C2BE6">
        <w:rPr>
          <w:b/>
          <w:bCs/>
        </w:rPr>
        <w:t>À retenir :</w:t>
      </w:r>
      <w:r w:rsidRPr="008C2BE6">
        <w:t xml:space="preserve"> la performance technique ne peut plus être dissociée de la </w:t>
      </w:r>
      <w:r w:rsidRPr="008C2BE6">
        <w:rPr>
          <w:b/>
          <w:bCs/>
        </w:rPr>
        <w:t>mesure environnementale</w:t>
      </w:r>
      <w:r w:rsidRPr="008C2BE6">
        <w:t xml:space="preserve"> ; les data centers deviennent des acteurs énergétiques à part entière.</w:t>
      </w:r>
    </w:p>
    <w:p w14:paraId="37C04E9F" w14:textId="77777777" w:rsidR="008C2BE6" w:rsidRPr="008C2BE6" w:rsidRDefault="008C2BE6" w:rsidP="008C2BE6">
      <w:r w:rsidRPr="008C2BE6">
        <w:pict w14:anchorId="3B9ABF45">
          <v:rect id="_x0000_i1093" style="width:0;height:1.5pt" o:hralign="center" o:hrstd="t" o:hr="t" fillcolor="#a0a0a0" stroked="f"/>
        </w:pict>
      </w:r>
    </w:p>
    <w:p w14:paraId="67950D31" w14:textId="77777777" w:rsidR="008C2BE6" w:rsidRPr="008C2BE6" w:rsidRDefault="008C2BE6" w:rsidP="008C2BE6">
      <w:pPr>
        <w:rPr>
          <w:b/>
          <w:bCs/>
        </w:rPr>
      </w:pPr>
      <w:r w:rsidRPr="008C2BE6">
        <w:rPr>
          <w:b/>
          <w:bCs/>
        </w:rPr>
        <w:t>6. Tendances 2025–2027</w:t>
      </w:r>
    </w:p>
    <w:p w14:paraId="5C27EC10" w14:textId="77777777" w:rsidR="008C2BE6" w:rsidRPr="008C2BE6" w:rsidRDefault="008C2BE6" w:rsidP="008C2BE6">
      <w:pPr>
        <w:numPr>
          <w:ilvl w:val="0"/>
          <w:numId w:val="25"/>
        </w:numPr>
      </w:pPr>
      <w:r w:rsidRPr="008C2BE6">
        <w:rPr>
          <w:b/>
          <w:bCs/>
        </w:rPr>
        <w:t>Infrastructure unifiée</w:t>
      </w:r>
      <w:r w:rsidRPr="008C2BE6">
        <w:t xml:space="preserve"> : cloud + edge + IA → supervision centralisée et allocation dynamique.</w:t>
      </w:r>
    </w:p>
    <w:p w14:paraId="029804CC" w14:textId="77777777" w:rsidR="008C2BE6" w:rsidRPr="008C2BE6" w:rsidRDefault="008C2BE6" w:rsidP="008C2BE6">
      <w:pPr>
        <w:numPr>
          <w:ilvl w:val="0"/>
          <w:numId w:val="25"/>
        </w:numPr>
      </w:pPr>
      <w:r w:rsidRPr="008C2BE6">
        <w:rPr>
          <w:b/>
          <w:bCs/>
        </w:rPr>
        <w:t>Électronique souveraine</w:t>
      </w:r>
      <w:r w:rsidRPr="008C2BE6">
        <w:t xml:space="preserve"> : fabrication locale, open hardware, architecture RISC-V.</w:t>
      </w:r>
    </w:p>
    <w:p w14:paraId="1CFCB791" w14:textId="77777777" w:rsidR="008C2BE6" w:rsidRPr="008C2BE6" w:rsidRDefault="008C2BE6" w:rsidP="008C2BE6">
      <w:pPr>
        <w:numPr>
          <w:ilvl w:val="0"/>
          <w:numId w:val="25"/>
        </w:numPr>
      </w:pPr>
      <w:r w:rsidRPr="008C2BE6">
        <w:rPr>
          <w:b/>
          <w:bCs/>
        </w:rPr>
        <w:t>Transition post-quantique</w:t>
      </w:r>
      <w:r w:rsidRPr="008C2BE6">
        <w:t xml:space="preserve"> : migration progressive des protocoles et stockage sécurisé.</w:t>
      </w:r>
    </w:p>
    <w:p w14:paraId="261AE4A9" w14:textId="77777777" w:rsidR="008C2BE6" w:rsidRPr="008C2BE6" w:rsidRDefault="008C2BE6" w:rsidP="008C2BE6">
      <w:pPr>
        <w:numPr>
          <w:ilvl w:val="0"/>
          <w:numId w:val="25"/>
        </w:numPr>
      </w:pPr>
      <w:r w:rsidRPr="008C2BE6">
        <w:rPr>
          <w:b/>
          <w:bCs/>
        </w:rPr>
        <w:t>Durabilité numérique</w:t>
      </w:r>
      <w:r w:rsidRPr="008C2BE6">
        <w:t xml:space="preserve"> : intégration des métriques ESG dans les SI.</w:t>
      </w:r>
    </w:p>
    <w:p w14:paraId="70C2ED9A" w14:textId="77777777" w:rsidR="008C2BE6" w:rsidRPr="008C2BE6" w:rsidRDefault="008C2BE6" w:rsidP="008C2BE6">
      <w:pPr>
        <w:numPr>
          <w:ilvl w:val="0"/>
          <w:numId w:val="25"/>
        </w:numPr>
      </w:pPr>
      <w:r w:rsidRPr="008C2BE6">
        <w:rPr>
          <w:b/>
          <w:bCs/>
        </w:rPr>
        <w:t>Réseaux autonomes</w:t>
      </w:r>
      <w:r w:rsidRPr="008C2BE6">
        <w:t xml:space="preserve"> : 6G et IA pour orchestration prédictive des flux.</w:t>
      </w:r>
    </w:p>
    <w:p w14:paraId="01220E5B" w14:textId="77777777" w:rsidR="008C2BE6" w:rsidRPr="008C2BE6" w:rsidRDefault="008C2BE6" w:rsidP="008C2BE6">
      <w:r w:rsidRPr="008C2BE6">
        <w:rPr>
          <w:b/>
          <w:bCs/>
        </w:rPr>
        <w:t>À retenir :</w:t>
      </w:r>
      <w:r w:rsidRPr="008C2BE6">
        <w:t xml:space="preserve"> la technologie devient un </w:t>
      </w:r>
      <w:r w:rsidRPr="008C2BE6">
        <w:rPr>
          <w:b/>
          <w:bCs/>
        </w:rPr>
        <w:t>levier géopolitique et écologique</w:t>
      </w:r>
      <w:r w:rsidRPr="008C2BE6">
        <w:t>, au cœur des politiques industrielles européennes.</w:t>
      </w:r>
    </w:p>
    <w:p w14:paraId="128D71A2" w14:textId="77777777" w:rsidR="008C2BE6" w:rsidRPr="008C2BE6" w:rsidRDefault="008C2BE6" w:rsidP="008C2BE6">
      <w:r w:rsidRPr="008C2BE6">
        <w:pict w14:anchorId="3AA87B2E">
          <v:rect id="_x0000_i1094" style="width:0;height:1.5pt" o:hralign="center" o:hrstd="t" o:hr="t" fillcolor="#a0a0a0" stroked="f"/>
        </w:pict>
      </w:r>
    </w:p>
    <w:p w14:paraId="574D0CA6" w14:textId="77777777" w:rsidR="008C2BE6" w:rsidRPr="008C2BE6" w:rsidRDefault="008C2BE6" w:rsidP="008C2BE6">
      <w:pPr>
        <w:rPr>
          <w:b/>
          <w:bCs/>
        </w:rPr>
      </w:pPr>
      <w:r w:rsidRPr="008C2BE6">
        <w:rPr>
          <w:b/>
          <w:bCs/>
        </w:rPr>
        <w:t>Bibliographie sélective (2025)</w:t>
      </w:r>
    </w:p>
    <w:p w14:paraId="41EB1582" w14:textId="77777777" w:rsidR="008C2BE6" w:rsidRPr="008C2BE6" w:rsidRDefault="008C2BE6" w:rsidP="008C2BE6">
      <w:pPr>
        <w:numPr>
          <w:ilvl w:val="0"/>
          <w:numId w:val="26"/>
        </w:numPr>
      </w:pPr>
      <w:r w:rsidRPr="008C2BE6">
        <w:rPr>
          <w:b/>
          <w:bCs/>
        </w:rPr>
        <w:t>Le Monde Informatique (2025)</w:t>
      </w:r>
      <w:r w:rsidRPr="008C2BE6">
        <w:t xml:space="preserve"> – Dossiers sur modernisation datacenter, durabilité, sécurité post-quantique, IA matérielle.</w:t>
      </w:r>
    </w:p>
    <w:p w14:paraId="72A4EC3F" w14:textId="77777777" w:rsidR="008C2BE6" w:rsidRPr="008C2BE6" w:rsidRDefault="008C2BE6" w:rsidP="008C2BE6">
      <w:pPr>
        <w:numPr>
          <w:ilvl w:val="0"/>
          <w:numId w:val="26"/>
        </w:numPr>
      </w:pPr>
      <w:r w:rsidRPr="008C2BE6">
        <w:rPr>
          <w:b/>
          <w:bCs/>
        </w:rPr>
        <w:lastRenderedPageBreak/>
        <w:t>Usine Digitale (2025)</w:t>
      </w:r>
      <w:r w:rsidRPr="008C2BE6">
        <w:t xml:space="preserve"> – Transition énergétique, souveraineté de calcul, projets européens de puces et cloud.</w:t>
      </w:r>
    </w:p>
    <w:p w14:paraId="3C082CCA" w14:textId="77777777" w:rsidR="008C2BE6" w:rsidRPr="008C2BE6" w:rsidRDefault="008C2BE6" w:rsidP="008C2BE6">
      <w:pPr>
        <w:numPr>
          <w:ilvl w:val="0"/>
          <w:numId w:val="26"/>
        </w:numPr>
      </w:pPr>
      <w:r w:rsidRPr="008C2BE6">
        <w:rPr>
          <w:b/>
          <w:bCs/>
        </w:rPr>
        <w:t>HPE (2025)</w:t>
      </w:r>
      <w:r w:rsidRPr="008C2BE6">
        <w:t xml:space="preserve"> – </w:t>
      </w:r>
      <w:r w:rsidRPr="008C2BE6">
        <w:rPr>
          <w:i/>
          <w:iCs/>
        </w:rPr>
        <w:t>Edge-to-Cloud Framework</w:t>
      </w:r>
      <w:r w:rsidRPr="008C2BE6">
        <w:t xml:space="preserve"> : modernisation et automatisation des infrastructures.</w:t>
      </w:r>
    </w:p>
    <w:p w14:paraId="20AB1D9F" w14:textId="77777777" w:rsidR="008C2BE6" w:rsidRPr="008C2BE6" w:rsidRDefault="008C2BE6" w:rsidP="008C2BE6">
      <w:pPr>
        <w:numPr>
          <w:ilvl w:val="0"/>
          <w:numId w:val="26"/>
        </w:numPr>
      </w:pPr>
      <w:r w:rsidRPr="008C2BE6">
        <w:rPr>
          <w:b/>
          <w:bCs/>
        </w:rPr>
        <w:t>ANSSI (2025)</w:t>
      </w:r>
      <w:r w:rsidRPr="008C2BE6">
        <w:t xml:space="preserve"> – </w:t>
      </w:r>
      <w:r w:rsidRPr="008C2BE6">
        <w:rPr>
          <w:i/>
          <w:iCs/>
        </w:rPr>
        <w:t>Feuille de route post-quantique</w:t>
      </w:r>
      <w:r w:rsidRPr="008C2BE6">
        <w:t xml:space="preserve"> et recommandations de migration.</w:t>
      </w:r>
    </w:p>
    <w:p w14:paraId="5F9C273D" w14:textId="77777777" w:rsidR="008C2BE6" w:rsidRPr="008C2BE6" w:rsidRDefault="008C2BE6" w:rsidP="008C2BE6">
      <w:pPr>
        <w:numPr>
          <w:ilvl w:val="0"/>
          <w:numId w:val="26"/>
        </w:numPr>
      </w:pPr>
      <w:r w:rsidRPr="008C2BE6">
        <w:rPr>
          <w:b/>
          <w:bCs/>
        </w:rPr>
        <w:t>Uptime Institute (2025)</w:t>
      </w:r>
      <w:r w:rsidRPr="008C2BE6">
        <w:t xml:space="preserve"> – </w:t>
      </w:r>
      <w:r w:rsidRPr="008C2BE6">
        <w:rPr>
          <w:i/>
          <w:iCs/>
        </w:rPr>
        <w:t>Data Center Sustainability Report</w:t>
      </w:r>
      <w:r w:rsidRPr="008C2BE6">
        <w:t>.</w:t>
      </w:r>
    </w:p>
    <w:p w14:paraId="277FA203" w14:textId="77777777" w:rsidR="00D81038" w:rsidRPr="008C2BE6" w:rsidRDefault="00D81038" w:rsidP="008C2BE6"/>
    <w:sectPr w:rsidR="00D81038" w:rsidRPr="008C2BE6" w:rsidSect="004D247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3262A" w14:textId="77777777" w:rsidR="00F45C6B" w:rsidRDefault="00F45C6B" w:rsidP="004C7BF0">
      <w:r>
        <w:separator/>
      </w:r>
    </w:p>
  </w:endnote>
  <w:endnote w:type="continuationSeparator" w:id="0">
    <w:p w14:paraId="2A50246E" w14:textId="77777777" w:rsidR="00F45C6B" w:rsidRDefault="00F45C6B" w:rsidP="004C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620090">
    <w:pPr>
      <w:pStyle w:val="Pieddepage"/>
      <w:tabs>
        <w:tab w:val="clear" w:pos="9072"/>
        <w:tab w:val="right" w:pos="1020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F513" w14:textId="77777777" w:rsidR="00F45C6B" w:rsidRDefault="00F45C6B" w:rsidP="004C7BF0">
      <w:r>
        <w:separator/>
      </w:r>
    </w:p>
  </w:footnote>
  <w:footnote w:type="continuationSeparator" w:id="0">
    <w:p w14:paraId="20652B4E" w14:textId="77777777" w:rsidR="00F45C6B" w:rsidRDefault="00F45C6B" w:rsidP="004C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722"/>
    <w:multiLevelType w:val="multilevel"/>
    <w:tmpl w:val="63A8A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324E2"/>
    <w:multiLevelType w:val="multilevel"/>
    <w:tmpl w:val="428A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07418"/>
    <w:multiLevelType w:val="multilevel"/>
    <w:tmpl w:val="FEA2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44244"/>
    <w:multiLevelType w:val="multilevel"/>
    <w:tmpl w:val="E3C0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E699B"/>
    <w:multiLevelType w:val="multilevel"/>
    <w:tmpl w:val="3DEE4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6727F6"/>
    <w:multiLevelType w:val="multilevel"/>
    <w:tmpl w:val="7C04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019AA"/>
    <w:multiLevelType w:val="multilevel"/>
    <w:tmpl w:val="A6BE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D5713"/>
    <w:multiLevelType w:val="multilevel"/>
    <w:tmpl w:val="619E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2A3EC9"/>
    <w:multiLevelType w:val="multilevel"/>
    <w:tmpl w:val="A6AC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E13F6"/>
    <w:multiLevelType w:val="hybridMultilevel"/>
    <w:tmpl w:val="ACD4D27E"/>
    <w:lvl w:ilvl="0" w:tplc="040C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D1C5A"/>
    <w:multiLevelType w:val="multilevel"/>
    <w:tmpl w:val="DBC6E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A57B01"/>
    <w:multiLevelType w:val="multilevel"/>
    <w:tmpl w:val="72F4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2170BC"/>
    <w:multiLevelType w:val="hybridMultilevel"/>
    <w:tmpl w:val="BF26BDF2"/>
    <w:lvl w:ilvl="0" w:tplc="859C16DE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65765"/>
    <w:multiLevelType w:val="multilevel"/>
    <w:tmpl w:val="2710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FC7870"/>
    <w:multiLevelType w:val="multilevel"/>
    <w:tmpl w:val="69683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6A4FC5"/>
    <w:multiLevelType w:val="multilevel"/>
    <w:tmpl w:val="F358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88407E"/>
    <w:multiLevelType w:val="multilevel"/>
    <w:tmpl w:val="DDFA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BB5D88"/>
    <w:multiLevelType w:val="multilevel"/>
    <w:tmpl w:val="DA30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1C61D9"/>
    <w:multiLevelType w:val="multilevel"/>
    <w:tmpl w:val="3B26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CA1320"/>
    <w:multiLevelType w:val="multilevel"/>
    <w:tmpl w:val="B7FE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49730E"/>
    <w:multiLevelType w:val="multilevel"/>
    <w:tmpl w:val="4070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736464"/>
    <w:multiLevelType w:val="multilevel"/>
    <w:tmpl w:val="3AFE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BA67B5"/>
    <w:multiLevelType w:val="multilevel"/>
    <w:tmpl w:val="9514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9"/>
  </w:num>
  <w:num w:numId="2" w16cid:durableId="1969772821">
    <w:abstractNumId w:val="4"/>
  </w:num>
  <w:num w:numId="3" w16cid:durableId="993755049">
    <w:abstractNumId w:val="15"/>
  </w:num>
  <w:num w:numId="4" w16cid:durableId="88350905">
    <w:abstractNumId w:val="25"/>
  </w:num>
  <w:num w:numId="5" w16cid:durableId="1259873310">
    <w:abstractNumId w:val="0"/>
  </w:num>
  <w:num w:numId="6" w16cid:durableId="940913695">
    <w:abstractNumId w:val="12"/>
  </w:num>
  <w:num w:numId="7" w16cid:durableId="816412162">
    <w:abstractNumId w:val="17"/>
  </w:num>
  <w:num w:numId="8" w16cid:durableId="164636122">
    <w:abstractNumId w:val="23"/>
  </w:num>
  <w:num w:numId="9" w16cid:durableId="1391228641">
    <w:abstractNumId w:val="11"/>
  </w:num>
  <w:num w:numId="10" w16cid:durableId="1693265206">
    <w:abstractNumId w:val="8"/>
  </w:num>
  <w:num w:numId="11" w16cid:durableId="1273130144">
    <w:abstractNumId w:val="3"/>
  </w:num>
  <w:num w:numId="12" w16cid:durableId="1490556548">
    <w:abstractNumId w:val="22"/>
  </w:num>
  <w:num w:numId="13" w16cid:durableId="1488012275">
    <w:abstractNumId w:val="21"/>
  </w:num>
  <w:num w:numId="14" w16cid:durableId="669020599">
    <w:abstractNumId w:val="1"/>
  </w:num>
  <w:num w:numId="15" w16cid:durableId="818350440">
    <w:abstractNumId w:val="18"/>
  </w:num>
  <w:num w:numId="16" w16cid:durableId="1939824947">
    <w:abstractNumId w:val="24"/>
  </w:num>
  <w:num w:numId="17" w16cid:durableId="823933720">
    <w:abstractNumId w:val="13"/>
  </w:num>
  <w:num w:numId="18" w16cid:durableId="479734414">
    <w:abstractNumId w:val="10"/>
  </w:num>
  <w:num w:numId="19" w16cid:durableId="1067144690">
    <w:abstractNumId w:val="16"/>
  </w:num>
  <w:num w:numId="20" w16cid:durableId="416681180">
    <w:abstractNumId w:val="20"/>
  </w:num>
  <w:num w:numId="21" w16cid:durableId="231473669">
    <w:abstractNumId w:val="2"/>
  </w:num>
  <w:num w:numId="22" w16cid:durableId="1639264267">
    <w:abstractNumId w:val="6"/>
  </w:num>
  <w:num w:numId="23" w16cid:durableId="839006276">
    <w:abstractNumId w:val="14"/>
  </w:num>
  <w:num w:numId="24" w16cid:durableId="2122989526">
    <w:abstractNumId w:val="9"/>
  </w:num>
  <w:num w:numId="25" w16cid:durableId="305167686">
    <w:abstractNumId w:val="5"/>
  </w:num>
  <w:num w:numId="26" w16cid:durableId="1042099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0F1A"/>
    <w:rsid w:val="0007241A"/>
    <w:rsid w:val="00115298"/>
    <w:rsid w:val="00135CDD"/>
    <w:rsid w:val="00151806"/>
    <w:rsid w:val="001D0EEB"/>
    <w:rsid w:val="001E273A"/>
    <w:rsid w:val="00316764"/>
    <w:rsid w:val="003276BD"/>
    <w:rsid w:val="00346F55"/>
    <w:rsid w:val="0044368F"/>
    <w:rsid w:val="004A6242"/>
    <w:rsid w:val="004C7BF0"/>
    <w:rsid w:val="004D247E"/>
    <w:rsid w:val="005172DB"/>
    <w:rsid w:val="005335CF"/>
    <w:rsid w:val="005453AD"/>
    <w:rsid w:val="00580F46"/>
    <w:rsid w:val="005D3225"/>
    <w:rsid w:val="00620090"/>
    <w:rsid w:val="006460AB"/>
    <w:rsid w:val="00665BB7"/>
    <w:rsid w:val="00677D09"/>
    <w:rsid w:val="006A78B6"/>
    <w:rsid w:val="006B7971"/>
    <w:rsid w:val="00713AC4"/>
    <w:rsid w:val="007C05B7"/>
    <w:rsid w:val="007F7037"/>
    <w:rsid w:val="00830A03"/>
    <w:rsid w:val="008608D3"/>
    <w:rsid w:val="008C2BE6"/>
    <w:rsid w:val="00925C06"/>
    <w:rsid w:val="009439F3"/>
    <w:rsid w:val="00960C5A"/>
    <w:rsid w:val="00964131"/>
    <w:rsid w:val="00965BD9"/>
    <w:rsid w:val="00B4568C"/>
    <w:rsid w:val="00B649B3"/>
    <w:rsid w:val="00CA4633"/>
    <w:rsid w:val="00CE15A3"/>
    <w:rsid w:val="00D016DC"/>
    <w:rsid w:val="00D81038"/>
    <w:rsid w:val="00F45C6B"/>
    <w:rsid w:val="00F47F65"/>
    <w:rsid w:val="00F71310"/>
    <w:rsid w:val="00FC180F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BF0"/>
    <w:pPr>
      <w:spacing w:after="120" w:line="240" w:lineRule="auto"/>
      <w:jc w:val="both"/>
    </w:pPr>
    <w:rPr>
      <w:rFonts w:ascii="Calibri" w:eastAsia="Times New Roman" w:hAnsi="Calibri" w:cs="Calibri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C7BF0"/>
    <w:pPr>
      <w:keepNext/>
      <w:keepLines/>
      <w:spacing w:before="120"/>
      <w:outlineLvl w:val="0"/>
    </w:pPr>
    <w:rPr>
      <w:rFonts w:asciiTheme="majorHAnsi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81038"/>
    <w:pPr>
      <w:keepNext/>
      <w:keepLines/>
      <w:spacing w:before="160" w:after="80"/>
      <w:outlineLvl w:val="1"/>
    </w:pPr>
    <w:rPr>
      <w:rFonts w:asciiTheme="majorHAnsi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7BF0"/>
    <w:rPr>
      <w:rFonts w:asciiTheme="majorHAnsi" w:eastAsia="Times New Roman" w:hAnsiTheme="majorHAnsi" w:cstheme="majorBidi"/>
      <w:color w:val="0F4761" w:themeColor="accent1" w:themeShade="BF"/>
      <w:sz w:val="40"/>
      <w:szCs w:val="4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81038"/>
    <w:rPr>
      <w:rFonts w:asciiTheme="majorHAnsi" w:eastAsia="Times New Roman" w:hAnsiTheme="majorHAnsi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737</Words>
  <Characters>4543</Characters>
  <Application>Microsoft Office Word</Application>
  <DocSecurity>0</DocSecurity>
  <Lines>85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2024-10-21T05:24:00Z</cp:lastPrinted>
  <dcterms:created xsi:type="dcterms:W3CDTF">2024-11-16T09:46:00Z</dcterms:created>
  <dcterms:modified xsi:type="dcterms:W3CDTF">2025-10-17T06:00:00Z</dcterms:modified>
</cp:coreProperties>
</file>